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2BC1" w:rsidRDefault="00122BC1" w:rsidP="00122BC1">
      <w:pPr>
        <w:pStyle w:val="Heading1"/>
      </w:pPr>
      <w:bookmarkStart w:id="0" w:name="_Toc275104308"/>
      <w:r>
        <w:t>Marketing plan/Feasibility Study on Japanese tourists coming to Australia, Queensland.</w:t>
      </w:r>
    </w:p>
    <w:p w:rsidR="00122BC1" w:rsidRPr="00122BC1" w:rsidRDefault="00122BC1" w:rsidP="00122BC1"/>
    <w:p w:rsidR="00122BC1" w:rsidRPr="00122BC1" w:rsidRDefault="00122BC1" w:rsidP="00122BC1">
      <w:pPr>
        <w:rPr>
          <w:u w:val="single"/>
        </w:rPr>
      </w:pPr>
      <w:r w:rsidRPr="00122BC1">
        <w:rPr>
          <w:u w:val="single"/>
        </w:rPr>
        <w:t>Segmentation, Target market strategy (10%)</w:t>
      </w:r>
    </w:p>
    <w:p w:rsidR="00122BC1" w:rsidRDefault="00122BC1" w:rsidP="00122BC1">
      <w:pPr>
        <w:rPr>
          <w:u w:val="single"/>
        </w:rPr>
      </w:pPr>
      <w:r w:rsidRPr="00122BC1">
        <w:rPr>
          <w:u w:val="single"/>
        </w:rPr>
        <w:t>Segmentation, target market strategy; needs to be specific and quantifiable. The target market/s size needs to be established in both numbers and dollars where possible.</w:t>
      </w:r>
    </w:p>
    <w:p w:rsidR="00122BC1" w:rsidRDefault="00122BC1" w:rsidP="00122BC1">
      <w:pPr>
        <w:rPr>
          <w:u w:val="single"/>
        </w:rPr>
      </w:pPr>
    </w:p>
    <w:p w:rsidR="00122BC1" w:rsidRPr="00122BC1" w:rsidRDefault="00122BC1" w:rsidP="00122BC1">
      <w:pPr>
        <w:rPr>
          <w:u w:val="single"/>
        </w:rPr>
      </w:pPr>
    </w:p>
    <w:p w:rsidR="00122BC1" w:rsidRDefault="00122BC1" w:rsidP="00122BC1"/>
    <w:p w:rsidR="00122BC1" w:rsidRPr="00122BC1" w:rsidRDefault="00122BC1" w:rsidP="00122BC1">
      <w:pPr>
        <w:rPr>
          <w:b/>
          <w:color w:val="FF0000"/>
        </w:rPr>
      </w:pPr>
      <w:r>
        <w:rPr>
          <w:b/>
          <w:color w:val="FF0000"/>
        </w:rPr>
        <w:t>O</w:t>
      </w:r>
      <w:r w:rsidRPr="00122BC1">
        <w:rPr>
          <w:b/>
          <w:color w:val="FF0000"/>
        </w:rPr>
        <w:t>ur basic assignment</w:t>
      </w:r>
    </w:p>
    <w:p w:rsidR="00122BC1" w:rsidRPr="00122BC1" w:rsidRDefault="00122BC1" w:rsidP="00122BC1">
      <w:pPr>
        <w:pStyle w:val="Body"/>
        <w:spacing w:line="360" w:lineRule="auto"/>
        <w:rPr>
          <w:rFonts w:ascii="Arial" w:hAnsi="Arial" w:cs="Arial"/>
          <w:sz w:val="20"/>
          <w:szCs w:val="20"/>
        </w:rPr>
      </w:pPr>
      <w:r w:rsidRPr="00122BC1">
        <w:rPr>
          <w:rFonts w:ascii="Arial" w:hAnsi="Arial" w:cs="Arial"/>
          <w:sz w:val="20"/>
          <w:szCs w:val="20"/>
          <w:lang w:val="en-US"/>
        </w:rPr>
        <w:t>The main criteria of this report are focusing on the current economic, political, legal and cultural environment of Australia. The purpose of this research is to shape the growth of Japanese tourists, by presenting a tourist package directly targeted at young to middle-aged (ages 20-30) consumers who decide to travel to a tourist destination within Australia.</w:t>
      </w:r>
    </w:p>
    <w:p w:rsidR="00122BC1" w:rsidRPr="00122BC1" w:rsidRDefault="00122BC1" w:rsidP="00122BC1">
      <w:pPr>
        <w:pStyle w:val="Body"/>
        <w:spacing w:line="360" w:lineRule="auto"/>
        <w:rPr>
          <w:rFonts w:ascii="Arial" w:hAnsi="Arial" w:cs="Arial"/>
          <w:sz w:val="20"/>
          <w:szCs w:val="20"/>
        </w:rPr>
      </w:pPr>
      <w:r w:rsidRPr="00122BC1">
        <w:rPr>
          <w:rFonts w:ascii="Arial" w:hAnsi="Arial" w:cs="Arial"/>
          <w:sz w:val="20"/>
          <w:szCs w:val="20"/>
          <w:lang w:val="en-US"/>
        </w:rPr>
        <w:t xml:space="preserve">The planned location is Gold Coast, Queensland.  </w:t>
      </w:r>
      <w:r w:rsidRPr="00122BC1">
        <w:rPr>
          <w:rFonts w:ascii="Arial" w:hAnsi="Arial" w:cs="Arial"/>
          <w:sz w:val="20"/>
          <w:szCs w:val="20"/>
        </w:rPr>
        <w:t xml:space="preserve">The Japanese consumer will enjoy 7 day trip through destinations like the Great Barrier Reef, Gold Coast, and Australian Zoo, various theme parks, national parks and Port Douglas would appeal to our target segment. </w:t>
      </w:r>
      <w:r w:rsidRPr="00122BC1">
        <w:rPr>
          <w:rFonts w:ascii="Arial" w:hAnsi="Arial" w:cs="Arial"/>
          <w:sz w:val="20"/>
          <w:szCs w:val="20"/>
          <w:lang w:val="en-US"/>
        </w:rPr>
        <w:t>Giving a broad mixture of ventures within the island, it can be customized to suit all consumer needs, from couple situated dinners to luxurious getaways for two. This package will be a self-conducted tour of surroundings and scenery that the Japanese consumers have never encountered before.</w:t>
      </w:r>
    </w:p>
    <w:p w:rsidR="00122BC1" w:rsidRDefault="00122BC1" w:rsidP="00122BC1"/>
    <w:p w:rsidR="00122BC1" w:rsidRDefault="00122BC1" w:rsidP="00122BC1"/>
    <w:p w:rsidR="00122BC1" w:rsidRDefault="00122BC1" w:rsidP="00122BC1"/>
    <w:p w:rsidR="00122BC1" w:rsidRDefault="00122BC1" w:rsidP="00122BC1"/>
    <w:p w:rsidR="00122BC1" w:rsidRDefault="00122BC1" w:rsidP="00122BC1"/>
    <w:p w:rsidR="00122BC1" w:rsidRDefault="00122BC1" w:rsidP="00122BC1"/>
    <w:p w:rsidR="00122BC1" w:rsidRPr="00122BC1" w:rsidRDefault="00122BC1" w:rsidP="00122BC1">
      <w:pPr>
        <w:pStyle w:val="Title"/>
      </w:pPr>
      <w:r>
        <w:t>Example of last year’s Vietnam feasibility report that got HD.</w:t>
      </w:r>
      <w:bookmarkStart w:id="1" w:name="_GoBack"/>
      <w:bookmarkEnd w:id="1"/>
    </w:p>
    <w:p w:rsidR="00122BC1" w:rsidRDefault="00122BC1" w:rsidP="00122BC1">
      <w:pPr>
        <w:pStyle w:val="Heading1"/>
      </w:pPr>
      <w:r>
        <w:t>Segmentation and Target Market strategy</w:t>
      </w:r>
      <w:bookmarkEnd w:id="0"/>
    </w:p>
    <w:p w:rsidR="00122BC1" w:rsidRDefault="00122BC1" w:rsidP="00122BC1">
      <w:pPr>
        <w:rPr>
          <w:rFonts w:asciiTheme="majorHAnsi" w:eastAsiaTheme="majorEastAsia" w:hAnsiTheme="majorHAnsi" w:cstheme="majorBidi"/>
          <w:bCs/>
          <w:color w:val="2C6EAB" w:themeColor="accent1" w:themeShade="B5"/>
          <w:sz w:val="32"/>
          <w:szCs w:val="32"/>
        </w:rPr>
      </w:pPr>
    </w:p>
    <w:p w:rsidR="00122BC1" w:rsidRDefault="00122BC1" w:rsidP="00122BC1">
      <w:pPr>
        <w:rPr>
          <w:sz w:val="24"/>
          <w:szCs w:val="24"/>
        </w:rPr>
      </w:pPr>
      <w:r>
        <w:rPr>
          <w:rFonts w:asciiTheme="majorHAnsi" w:eastAsiaTheme="majorEastAsia" w:hAnsiTheme="majorHAnsi" w:cstheme="majorBidi"/>
          <w:bCs/>
          <w:color w:val="2C6EAB" w:themeColor="accent1" w:themeShade="B5"/>
          <w:sz w:val="32"/>
          <w:szCs w:val="32"/>
        </w:rPr>
        <w:t xml:space="preserve">   </w:t>
      </w:r>
      <w:r w:rsidRPr="00D53E99">
        <w:rPr>
          <w:sz w:val="24"/>
          <w:szCs w:val="24"/>
        </w:rPr>
        <w:t>Segmentation of our target audience has been attributed t</w:t>
      </w:r>
      <w:r>
        <w:rPr>
          <w:sz w:val="24"/>
          <w:szCs w:val="24"/>
        </w:rPr>
        <w:t>o demographic variables</w:t>
      </w:r>
      <w:r w:rsidRPr="00D53E99">
        <w:rPr>
          <w:sz w:val="24"/>
          <w:szCs w:val="24"/>
        </w:rPr>
        <w:t>. As this is quite a</w:t>
      </w:r>
      <w:r>
        <w:rPr>
          <w:sz w:val="24"/>
          <w:szCs w:val="24"/>
        </w:rPr>
        <w:t>n</w:t>
      </w:r>
      <w:r w:rsidRPr="00D53E99">
        <w:rPr>
          <w:sz w:val="24"/>
          <w:szCs w:val="24"/>
        </w:rPr>
        <w:t xml:space="preserve"> easily obtained variable</w:t>
      </w:r>
      <w:r>
        <w:rPr>
          <w:sz w:val="24"/>
          <w:szCs w:val="24"/>
        </w:rPr>
        <w:t>,</w:t>
      </w:r>
      <w:r w:rsidRPr="00D53E99">
        <w:rPr>
          <w:sz w:val="24"/>
          <w:szCs w:val="24"/>
        </w:rPr>
        <w:t xml:space="preserve"> as information regarding population levels and characteristics are accurate and readily available. Establishing our segment within the Vietnamese population as being the age group of the 40-49 year old presented an approximate 12.3 million consumers within this age group (</w:t>
      </w:r>
      <w:proofErr w:type="spellStart"/>
      <w:r w:rsidRPr="00D53E99">
        <w:rPr>
          <w:sz w:val="24"/>
          <w:szCs w:val="24"/>
        </w:rPr>
        <w:t>IndexMundi</w:t>
      </w:r>
      <w:proofErr w:type="spellEnd"/>
      <w:r w:rsidRPr="00D53E99">
        <w:rPr>
          <w:sz w:val="24"/>
          <w:szCs w:val="24"/>
        </w:rPr>
        <w:t xml:space="preserve">, 2014). </w:t>
      </w:r>
      <w:proofErr w:type="spellStart"/>
      <w:r w:rsidRPr="00D53E99">
        <w:rPr>
          <w:sz w:val="24"/>
          <w:szCs w:val="24"/>
        </w:rPr>
        <w:t>Further more</w:t>
      </w:r>
      <w:proofErr w:type="spellEnd"/>
      <w:r w:rsidRPr="00D53E99">
        <w:rPr>
          <w:sz w:val="24"/>
          <w:szCs w:val="24"/>
        </w:rPr>
        <w:t xml:space="preserve"> to this, in order to achieve a viable target consumer for the luxury travel, segmenting the target market through socio-economic channels provided a basis for potential consumer interest. Social class A equates for 9.3% of the population, in which they earn over an average of US$150,000, and as of such the age demographic of 40-49 presented as the highest </w:t>
      </w:r>
      <w:r w:rsidRPr="00D53E99">
        <w:rPr>
          <w:sz w:val="24"/>
          <w:szCs w:val="24"/>
        </w:rPr>
        <w:lastRenderedPageBreak/>
        <w:t xml:space="preserve">concentration within this segment. As of such these consumers are the more affluent earners within Vietnam and have higher level of consumer expenditure towards luxurious items such as travel. As indicated in table and statistics taken from hoangle.com and Index Mundi as well as CIA World </w:t>
      </w:r>
      <w:proofErr w:type="spellStart"/>
      <w:r w:rsidRPr="00D53E99">
        <w:rPr>
          <w:sz w:val="24"/>
          <w:szCs w:val="24"/>
        </w:rPr>
        <w:t>Factbook</w:t>
      </w:r>
      <w:proofErr w:type="spellEnd"/>
      <w:r w:rsidRPr="00D53E99">
        <w:rPr>
          <w:sz w:val="24"/>
          <w:szCs w:val="24"/>
        </w:rPr>
        <w:t xml:space="preserve">, it can ascertained from approximately from our target audience of social class A aged 40-49, of the total Vietnamese population 2,887,000 fall within our specific target market. </w:t>
      </w:r>
      <w:r>
        <w:rPr>
          <w:sz w:val="24"/>
          <w:szCs w:val="24"/>
        </w:rPr>
        <w:t>(</w:t>
      </w:r>
      <w:proofErr w:type="gramStart"/>
      <w:r>
        <w:rPr>
          <w:sz w:val="24"/>
          <w:szCs w:val="24"/>
        </w:rPr>
        <w:t>refer</w:t>
      </w:r>
      <w:proofErr w:type="gramEnd"/>
      <w:r>
        <w:rPr>
          <w:sz w:val="24"/>
          <w:szCs w:val="24"/>
        </w:rPr>
        <w:t xml:space="preserve"> to table 1)</w:t>
      </w:r>
    </w:p>
    <w:p w:rsidR="00122BC1" w:rsidRDefault="00122BC1" w:rsidP="00122BC1">
      <w:pPr>
        <w:rPr>
          <w:sz w:val="24"/>
          <w:szCs w:val="24"/>
        </w:rPr>
      </w:pPr>
    </w:p>
    <w:tbl>
      <w:tblPr>
        <w:tblStyle w:val="LightShading-Accent1"/>
        <w:tblW w:w="0" w:type="auto"/>
        <w:tblLook w:val="04A0" w:firstRow="1" w:lastRow="0" w:firstColumn="1" w:lastColumn="0" w:noHBand="0" w:noVBand="1"/>
      </w:tblPr>
      <w:tblGrid>
        <w:gridCol w:w="2970"/>
        <w:gridCol w:w="2773"/>
        <w:gridCol w:w="2773"/>
      </w:tblGrid>
      <w:tr w:rsidR="00122BC1" w:rsidTr="00E31F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rsidR="00122BC1" w:rsidRDefault="00122BC1" w:rsidP="00E31FA7">
            <w:r>
              <w:t>Characteristic</w:t>
            </w:r>
          </w:p>
        </w:tc>
        <w:tc>
          <w:tcPr>
            <w:tcW w:w="2773" w:type="dxa"/>
          </w:tcPr>
          <w:p w:rsidR="00122BC1" w:rsidRDefault="00122BC1" w:rsidP="00E31FA7">
            <w:pPr>
              <w:cnfStyle w:val="100000000000" w:firstRow="1" w:lastRow="0" w:firstColumn="0" w:lastColumn="0" w:oddVBand="0" w:evenVBand="0" w:oddHBand="0" w:evenHBand="0" w:firstRowFirstColumn="0" w:firstRowLastColumn="0" w:lastRowFirstColumn="0" w:lastRowLastColumn="0"/>
            </w:pPr>
            <w:r>
              <w:t>Figure</w:t>
            </w:r>
          </w:p>
        </w:tc>
        <w:tc>
          <w:tcPr>
            <w:tcW w:w="2773" w:type="dxa"/>
          </w:tcPr>
          <w:p w:rsidR="00122BC1" w:rsidRDefault="00122BC1" w:rsidP="00E31FA7">
            <w:pPr>
              <w:cnfStyle w:val="100000000000" w:firstRow="1" w:lastRow="0" w:firstColumn="0" w:lastColumn="0" w:oddVBand="0" w:evenVBand="0" w:oddHBand="0" w:evenHBand="0" w:firstRowFirstColumn="0" w:firstRowLastColumn="0" w:lastRowFirstColumn="0" w:lastRowLastColumn="0"/>
            </w:pPr>
            <w:r>
              <w:t>Target market</w:t>
            </w:r>
          </w:p>
        </w:tc>
      </w:tr>
      <w:tr w:rsidR="00122BC1" w:rsidTr="00E31F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rsidR="00122BC1" w:rsidRDefault="00122BC1" w:rsidP="00E31FA7">
            <w:r>
              <w:t>Population</w:t>
            </w:r>
          </w:p>
        </w:tc>
        <w:tc>
          <w:tcPr>
            <w:tcW w:w="2773" w:type="dxa"/>
          </w:tcPr>
          <w:p w:rsidR="00122BC1" w:rsidRDefault="00122BC1" w:rsidP="00E31FA7">
            <w:pPr>
              <w:cnfStyle w:val="000000100000" w:firstRow="0" w:lastRow="0" w:firstColumn="0" w:lastColumn="0" w:oddVBand="0" w:evenVBand="0" w:oddHBand="1" w:evenHBand="0" w:firstRowFirstColumn="0" w:firstRowLastColumn="0" w:lastRowFirstColumn="0" w:lastRowLastColumn="0"/>
            </w:pPr>
            <w:r>
              <w:t>93,421,835</w:t>
            </w:r>
          </w:p>
        </w:tc>
        <w:tc>
          <w:tcPr>
            <w:tcW w:w="2773" w:type="dxa"/>
          </w:tcPr>
          <w:p w:rsidR="00122BC1" w:rsidRDefault="00122BC1" w:rsidP="00E31FA7">
            <w:pPr>
              <w:jc w:val="right"/>
              <w:cnfStyle w:val="000000100000" w:firstRow="0" w:lastRow="0" w:firstColumn="0" w:lastColumn="0" w:oddVBand="0" w:evenVBand="0" w:oddHBand="1" w:evenHBand="0" w:firstRowFirstColumn="0" w:firstRowLastColumn="0" w:lastRowFirstColumn="0" w:lastRowLastColumn="0"/>
            </w:pPr>
            <w:r>
              <w:t>93,421,835</w:t>
            </w:r>
          </w:p>
        </w:tc>
      </w:tr>
      <w:tr w:rsidR="00122BC1" w:rsidTr="00E31FA7">
        <w:tc>
          <w:tcPr>
            <w:cnfStyle w:val="001000000000" w:firstRow="0" w:lastRow="0" w:firstColumn="1" w:lastColumn="0" w:oddVBand="0" w:evenVBand="0" w:oddHBand="0" w:evenHBand="0" w:firstRowFirstColumn="0" w:firstRowLastColumn="0" w:lastRowFirstColumn="0" w:lastRowLastColumn="0"/>
            <w:tcW w:w="2970" w:type="dxa"/>
          </w:tcPr>
          <w:p w:rsidR="00122BC1" w:rsidRDefault="00122BC1" w:rsidP="00E31FA7">
            <w:r>
              <w:t>Male 40-44</w:t>
            </w:r>
          </w:p>
        </w:tc>
        <w:tc>
          <w:tcPr>
            <w:tcW w:w="2773"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3.2 million (approx.)</w:t>
            </w:r>
          </w:p>
        </w:tc>
        <w:tc>
          <w:tcPr>
            <w:tcW w:w="2773" w:type="dxa"/>
          </w:tcPr>
          <w:p w:rsidR="00122BC1" w:rsidRDefault="00122BC1" w:rsidP="00E31FA7">
            <w:pPr>
              <w:jc w:val="right"/>
              <w:cnfStyle w:val="000000000000" w:firstRow="0" w:lastRow="0" w:firstColumn="0" w:lastColumn="0" w:oddVBand="0" w:evenVBand="0" w:oddHBand="0" w:evenHBand="0" w:firstRowFirstColumn="0" w:firstRowLastColumn="0" w:lastRowFirstColumn="0" w:lastRowLastColumn="0"/>
            </w:pPr>
          </w:p>
        </w:tc>
      </w:tr>
      <w:tr w:rsidR="00122BC1" w:rsidTr="00E31F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rsidR="00122BC1" w:rsidRDefault="00122BC1" w:rsidP="00E31FA7">
            <w:r>
              <w:t>Female 40-44</w:t>
            </w:r>
          </w:p>
        </w:tc>
        <w:tc>
          <w:tcPr>
            <w:tcW w:w="2773" w:type="dxa"/>
          </w:tcPr>
          <w:p w:rsidR="00122BC1" w:rsidRDefault="00122BC1" w:rsidP="00E31FA7">
            <w:pPr>
              <w:cnfStyle w:val="000000100000" w:firstRow="0" w:lastRow="0" w:firstColumn="0" w:lastColumn="0" w:oddVBand="0" w:evenVBand="0" w:oddHBand="1" w:evenHBand="0" w:firstRowFirstColumn="0" w:firstRowLastColumn="0" w:lastRowFirstColumn="0" w:lastRowLastColumn="0"/>
            </w:pPr>
            <w:r>
              <w:t>3.3 million (approx.)</w:t>
            </w:r>
          </w:p>
        </w:tc>
        <w:tc>
          <w:tcPr>
            <w:tcW w:w="2773" w:type="dxa"/>
          </w:tcPr>
          <w:p w:rsidR="00122BC1" w:rsidRDefault="00122BC1" w:rsidP="00E31FA7">
            <w:pPr>
              <w:jc w:val="right"/>
              <w:cnfStyle w:val="000000100000" w:firstRow="0" w:lastRow="0" w:firstColumn="0" w:lastColumn="0" w:oddVBand="0" w:evenVBand="0" w:oddHBand="1" w:evenHBand="0" w:firstRowFirstColumn="0" w:firstRowLastColumn="0" w:lastRowFirstColumn="0" w:lastRowLastColumn="0"/>
            </w:pPr>
          </w:p>
        </w:tc>
      </w:tr>
      <w:tr w:rsidR="00122BC1" w:rsidTr="00E31FA7">
        <w:tc>
          <w:tcPr>
            <w:cnfStyle w:val="001000000000" w:firstRow="0" w:lastRow="0" w:firstColumn="1" w:lastColumn="0" w:oddVBand="0" w:evenVBand="0" w:oddHBand="0" w:evenHBand="0" w:firstRowFirstColumn="0" w:firstRowLastColumn="0" w:lastRowFirstColumn="0" w:lastRowLastColumn="0"/>
            <w:tcW w:w="2970" w:type="dxa"/>
          </w:tcPr>
          <w:p w:rsidR="00122BC1" w:rsidRDefault="00122BC1" w:rsidP="00E31FA7">
            <w:r>
              <w:t>Male 45-49</w:t>
            </w:r>
          </w:p>
        </w:tc>
        <w:tc>
          <w:tcPr>
            <w:tcW w:w="2773"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2.9 million (approx.)</w:t>
            </w:r>
          </w:p>
        </w:tc>
        <w:tc>
          <w:tcPr>
            <w:tcW w:w="2773" w:type="dxa"/>
          </w:tcPr>
          <w:p w:rsidR="00122BC1" w:rsidRDefault="00122BC1" w:rsidP="00E31FA7">
            <w:pPr>
              <w:jc w:val="right"/>
              <w:cnfStyle w:val="000000000000" w:firstRow="0" w:lastRow="0" w:firstColumn="0" w:lastColumn="0" w:oddVBand="0" w:evenVBand="0" w:oddHBand="0" w:evenHBand="0" w:firstRowFirstColumn="0" w:firstRowLastColumn="0" w:lastRowFirstColumn="0" w:lastRowLastColumn="0"/>
            </w:pPr>
          </w:p>
        </w:tc>
      </w:tr>
      <w:tr w:rsidR="00122BC1" w:rsidTr="00E31F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rsidR="00122BC1" w:rsidRDefault="00122BC1" w:rsidP="00E31FA7">
            <w:r>
              <w:t>Female 45-49</w:t>
            </w:r>
          </w:p>
        </w:tc>
        <w:tc>
          <w:tcPr>
            <w:tcW w:w="2773" w:type="dxa"/>
          </w:tcPr>
          <w:p w:rsidR="00122BC1" w:rsidRDefault="00122BC1" w:rsidP="00E31FA7">
            <w:pPr>
              <w:cnfStyle w:val="000000100000" w:firstRow="0" w:lastRow="0" w:firstColumn="0" w:lastColumn="0" w:oddVBand="0" w:evenVBand="0" w:oddHBand="1" w:evenHBand="0" w:firstRowFirstColumn="0" w:firstRowLastColumn="0" w:lastRowFirstColumn="0" w:lastRowLastColumn="0"/>
            </w:pPr>
            <w:r>
              <w:t>2.9 million (approx.)</w:t>
            </w:r>
          </w:p>
        </w:tc>
        <w:tc>
          <w:tcPr>
            <w:tcW w:w="2773" w:type="dxa"/>
          </w:tcPr>
          <w:p w:rsidR="00122BC1" w:rsidRDefault="00122BC1" w:rsidP="00E31FA7">
            <w:pPr>
              <w:jc w:val="right"/>
              <w:cnfStyle w:val="000000100000" w:firstRow="0" w:lastRow="0" w:firstColumn="0" w:lastColumn="0" w:oddVBand="0" w:evenVBand="0" w:oddHBand="1" w:evenHBand="0" w:firstRowFirstColumn="0" w:firstRowLastColumn="0" w:lastRowFirstColumn="0" w:lastRowLastColumn="0"/>
            </w:pPr>
          </w:p>
        </w:tc>
      </w:tr>
      <w:tr w:rsidR="00122BC1" w:rsidTr="00E31FA7">
        <w:tc>
          <w:tcPr>
            <w:cnfStyle w:val="001000000000" w:firstRow="0" w:lastRow="0" w:firstColumn="1" w:lastColumn="0" w:oddVBand="0" w:evenVBand="0" w:oddHBand="0" w:evenHBand="0" w:firstRowFirstColumn="0" w:firstRowLastColumn="0" w:lastRowFirstColumn="0" w:lastRowLastColumn="0"/>
            <w:tcW w:w="2970" w:type="dxa"/>
          </w:tcPr>
          <w:p w:rsidR="00122BC1" w:rsidRDefault="00122BC1" w:rsidP="00E31FA7">
            <w:r>
              <w:t>40-44</w:t>
            </w:r>
          </w:p>
        </w:tc>
        <w:tc>
          <w:tcPr>
            <w:tcW w:w="2773"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6.5 million (approx.)</w:t>
            </w:r>
          </w:p>
        </w:tc>
        <w:tc>
          <w:tcPr>
            <w:tcW w:w="2773" w:type="dxa"/>
          </w:tcPr>
          <w:p w:rsidR="00122BC1" w:rsidRDefault="00122BC1" w:rsidP="00E31FA7">
            <w:pPr>
              <w:jc w:val="right"/>
              <w:cnfStyle w:val="000000000000" w:firstRow="0" w:lastRow="0" w:firstColumn="0" w:lastColumn="0" w:oddVBand="0" w:evenVBand="0" w:oddHBand="0" w:evenHBand="0" w:firstRowFirstColumn="0" w:firstRowLastColumn="0" w:lastRowFirstColumn="0" w:lastRowLastColumn="0"/>
            </w:pPr>
            <w:r>
              <w:t>6,500,000</w:t>
            </w:r>
          </w:p>
        </w:tc>
      </w:tr>
      <w:tr w:rsidR="00122BC1" w:rsidTr="00E31F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rsidR="00122BC1" w:rsidRDefault="00122BC1" w:rsidP="00E31FA7">
            <w:r>
              <w:t>45-49</w:t>
            </w:r>
          </w:p>
        </w:tc>
        <w:tc>
          <w:tcPr>
            <w:tcW w:w="2773" w:type="dxa"/>
          </w:tcPr>
          <w:p w:rsidR="00122BC1" w:rsidRDefault="00122BC1" w:rsidP="00E31FA7">
            <w:pPr>
              <w:cnfStyle w:val="000000100000" w:firstRow="0" w:lastRow="0" w:firstColumn="0" w:lastColumn="0" w:oddVBand="0" w:evenVBand="0" w:oddHBand="1" w:evenHBand="0" w:firstRowFirstColumn="0" w:firstRowLastColumn="0" w:lastRowFirstColumn="0" w:lastRowLastColumn="0"/>
            </w:pPr>
            <w:r>
              <w:t>5.8 million (approx.)</w:t>
            </w:r>
          </w:p>
        </w:tc>
        <w:tc>
          <w:tcPr>
            <w:tcW w:w="2773" w:type="dxa"/>
          </w:tcPr>
          <w:p w:rsidR="00122BC1" w:rsidRDefault="00122BC1" w:rsidP="00E31FA7">
            <w:pPr>
              <w:jc w:val="right"/>
              <w:cnfStyle w:val="000000100000" w:firstRow="0" w:lastRow="0" w:firstColumn="0" w:lastColumn="0" w:oddVBand="0" w:evenVBand="0" w:oddHBand="1" w:evenHBand="0" w:firstRowFirstColumn="0" w:firstRowLastColumn="0" w:lastRowFirstColumn="0" w:lastRowLastColumn="0"/>
            </w:pPr>
            <w:r>
              <w:t>5,800,000</w:t>
            </w:r>
          </w:p>
        </w:tc>
      </w:tr>
      <w:tr w:rsidR="00122BC1" w:rsidTr="00E31FA7">
        <w:tc>
          <w:tcPr>
            <w:cnfStyle w:val="001000000000" w:firstRow="0" w:lastRow="0" w:firstColumn="1" w:lastColumn="0" w:oddVBand="0" w:evenVBand="0" w:oddHBand="0" w:evenHBand="0" w:firstRowFirstColumn="0" w:firstRowLastColumn="0" w:lastRowFirstColumn="0" w:lastRowLastColumn="0"/>
            <w:tcW w:w="2970" w:type="dxa"/>
          </w:tcPr>
          <w:p w:rsidR="00122BC1" w:rsidRDefault="00122BC1" w:rsidP="00E31FA7">
            <w:r>
              <w:t>Social Class A</w:t>
            </w:r>
          </w:p>
        </w:tc>
        <w:tc>
          <w:tcPr>
            <w:tcW w:w="2773"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9.3% total population</w:t>
            </w:r>
          </w:p>
        </w:tc>
        <w:tc>
          <w:tcPr>
            <w:tcW w:w="2773" w:type="dxa"/>
          </w:tcPr>
          <w:p w:rsidR="00122BC1" w:rsidRDefault="00122BC1" w:rsidP="00E31FA7">
            <w:pPr>
              <w:jc w:val="right"/>
              <w:cnfStyle w:val="000000000000" w:firstRow="0" w:lastRow="0" w:firstColumn="0" w:lastColumn="0" w:oddVBand="0" w:evenVBand="0" w:oddHBand="0" w:evenHBand="0" w:firstRowFirstColumn="0" w:firstRowLastColumn="0" w:lastRowFirstColumn="0" w:lastRowLastColumn="0"/>
            </w:pPr>
            <w:r>
              <w:t xml:space="preserve">8,688,230 </w:t>
            </w:r>
            <w:proofErr w:type="spellStart"/>
            <w:r>
              <w:t>approx</w:t>
            </w:r>
            <w:proofErr w:type="spellEnd"/>
          </w:p>
        </w:tc>
      </w:tr>
      <w:tr w:rsidR="00122BC1" w:rsidTr="00E31F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rsidR="00122BC1" w:rsidRDefault="00122BC1" w:rsidP="00E31FA7">
            <w:r>
              <w:t>Social Class A 40-44</w:t>
            </w:r>
          </w:p>
        </w:tc>
        <w:tc>
          <w:tcPr>
            <w:tcW w:w="2773" w:type="dxa"/>
          </w:tcPr>
          <w:p w:rsidR="00122BC1" w:rsidRDefault="00122BC1" w:rsidP="00E31FA7">
            <w:pPr>
              <w:cnfStyle w:val="000000100000" w:firstRow="0" w:lastRow="0" w:firstColumn="0" w:lastColumn="0" w:oddVBand="0" w:evenVBand="0" w:oddHBand="1" w:evenHBand="0" w:firstRowFirstColumn="0" w:firstRowLastColumn="0" w:lastRowFirstColumn="0" w:lastRowLastColumn="0"/>
            </w:pPr>
            <w:r>
              <w:t>23% of 6.5 million</w:t>
            </w:r>
          </w:p>
        </w:tc>
        <w:tc>
          <w:tcPr>
            <w:tcW w:w="2773" w:type="dxa"/>
          </w:tcPr>
          <w:p w:rsidR="00122BC1" w:rsidRDefault="00122BC1" w:rsidP="00E31FA7">
            <w:pPr>
              <w:jc w:val="right"/>
              <w:cnfStyle w:val="000000100000" w:firstRow="0" w:lastRow="0" w:firstColumn="0" w:lastColumn="0" w:oddVBand="0" w:evenVBand="0" w:oddHBand="1" w:evenHBand="0" w:firstRowFirstColumn="0" w:firstRowLastColumn="0" w:lastRowFirstColumn="0" w:lastRowLastColumn="0"/>
            </w:pPr>
            <w:r>
              <w:t>1,495,000</w:t>
            </w:r>
          </w:p>
        </w:tc>
      </w:tr>
      <w:tr w:rsidR="00122BC1" w:rsidTr="00E31FA7">
        <w:tc>
          <w:tcPr>
            <w:cnfStyle w:val="001000000000" w:firstRow="0" w:lastRow="0" w:firstColumn="1" w:lastColumn="0" w:oddVBand="0" w:evenVBand="0" w:oddHBand="0" w:evenHBand="0" w:firstRowFirstColumn="0" w:firstRowLastColumn="0" w:lastRowFirstColumn="0" w:lastRowLastColumn="0"/>
            <w:tcW w:w="2970" w:type="dxa"/>
          </w:tcPr>
          <w:p w:rsidR="00122BC1" w:rsidRDefault="00122BC1" w:rsidP="00E31FA7">
            <w:r>
              <w:t>Social Class A 45-49</w:t>
            </w:r>
          </w:p>
        </w:tc>
        <w:tc>
          <w:tcPr>
            <w:tcW w:w="2773"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24% of 5.8 million</w:t>
            </w:r>
          </w:p>
        </w:tc>
        <w:tc>
          <w:tcPr>
            <w:tcW w:w="2773" w:type="dxa"/>
          </w:tcPr>
          <w:p w:rsidR="00122BC1" w:rsidRDefault="00122BC1" w:rsidP="00E31FA7">
            <w:pPr>
              <w:jc w:val="right"/>
              <w:cnfStyle w:val="000000000000" w:firstRow="0" w:lastRow="0" w:firstColumn="0" w:lastColumn="0" w:oddVBand="0" w:evenVBand="0" w:oddHBand="0" w:evenHBand="0" w:firstRowFirstColumn="0" w:firstRowLastColumn="0" w:lastRowFirstColumn="0" w:lastRowLastColumn="0"/>
            </w:pPr>
            <w:r>
              <w:t>1,392,000</w:t>
            </w:r>
          </w:p>
        </w:tc>
      </w:tr>
      <w:tr w:rsidR="00122BC1" w:rsidTr="00E31F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rsidR="00122BC1" w:rsidRDefault="00122BC1" w:rsidP="00E31FA7"/>
        </w:tc>
        <w:tc>
          <w:tcPr>
            <w:tcW w:w="2773" w:type="dxa"/>
          </w:tcPr>
          <w:p w:rsidR="00122BC1" w:rsidRDefault="00122BC1" w:rsidP="00E31FA7">
            <w:pPr>
              <w:cnfStyle w:val="000000100000" w:firstRow="0" w:lastRow="0" w:firstColumn="0" w:lastColumn="0" w:oddVBand="0" w:evenVBand="0" w:oddHBand="1" w:evenHBand="0" w:firstRowFirstColumn="0" w:firstRowLastColumn="0" w:lastRowFirstColumn="0" w:lastRowLastColumn="0"/>
            </w:pPr>
          </w:p>
        </w:tc>
        <w:tc>
          <w:tcPr>
            <w:tcW w:w="2773" w:type="dxa"/>
          </w:tcPr>
          <w:p w:rsidR="00122BC1" w:rsidRPr="00E22DB5" w:rsidRDefault="00122BC1" w:rsidP="00E31FA7">
            <w:pPr>
              <w:jc w:val="right"/>
              <w:cnfStyle w:val="000000100000" w:firstRow="0" w:lastRow="0" w:firstColumn="0" w:lastColumn="0" w:oddVBand="0" w:evenVBand="0" w:oddHBand="1" w:evenHBand="0" w:firstRowFirstColumn="0" w:firstRowLastColumn="0" w:lastRowFirstColumn="0" w:lastRowLastColumn="0"/>
              <w:rPr>
                <w:b/>
              </w:rPr>
            </w:pPr>
            <w:r w:rsidRPr="00E22DB5">
              <w:rPr>
                <w:b/>
              </w:rPr>
              <w:t>2,887,000</w:t>
            </w:r>
            <w:r>
              <w:rPr>
                <w:b/>
              </w:rPr>
              <w:t xml:space="preserve"> </w:t>
            </w:r>
            <w:proofErr w:type="spellStart"/>
            <w:r>
              <w:rPr>
                <w:b/>
              </w:rPr>
              <w:t>Approx</w:t>
            </w:r>
            <w:proofErr w:type="spellEnd"/>
          </w:p>
        </w:tc>
      </w:tr>
      <w:tr w:rsidR="00122BC1" w:rsidTr="00E31FA7">
        <w:tc>
          <w:tcPr>
            <w:cnfStyle w:val="001000000000" w:firstRow="0" w:lastRow="0" w:firstColumn="1" w:lastColumn="0" w:oddVBand="0" w:evenVBand="0" w:oddHBand="0" w:evenHBand="0" w:firstRowFirstColumn="0" w:firstRowLastColumn="0" w:lastRowFirstColumn="0" w:lastRowLastColumn="0"/>
            <w:tcW w:w="2970" w:type="dxa"/>
          </w:tcPr>
          <w:p w:rsidR="00122BC1" w:rsidRDefault="00122BC1" w:rsidP="00E31FA7">
            <w:r>
              <w:t>Likely to travel</w:t>
            </w:r>
          </w:p>
        </w:tc>
        <w:tc>
          <w:tcPr>
            <w:tcW w:w="2773"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2%</w:t>
            </w:r>
            <w:r>
              <w:br/>
              <w:t>3%</w:t>
            </w:r>
          </w:p>
          <w:p w:rsidR="00122BC1" w:rsidRDefault="00122BC1" w:rsidP="00E31FA7">
            <w:pPr>
              <w:cnfStyle w:val="000000000000" w:firstRow="0" w:lastRow="0" w:firstColumn="0" w:lastColumn="0" w:oddVBand="0" w:evenVBand="0" w:oddHBand="0" w:evenHBand="0" w:firstRowFirstColumn="0" w:firstRowLastColumn="0" w:lastRowFirstColumn="0" w:lastRowLastColumn="0"/>
            </w:pPr>
            <w:r>
              <w:t>4%</w:t>
            </w:r>
          </w:p>
          <w:p w:rsidR="00122BC1" w:rsidRDefault="00122BC1" w:rsidP="00E31FA7">
            <w:pPr>
              <w:cnfStyle w:val="000000000000" w:firstRow="0" w:lastRow="0" w:firstColumn="0" w:lastColumn="0" w:oddVBand="0" w:evenVBand="0" w:oddHBand="0" w:evenHBand="0" w:firstRowFirstColumn="0" w:firstRowLastColumn="0" w:lastRowFirstColumn="0" w:lastRowLastColumn="0"/>
            </w:pPr>
            <w:r>
              <w:t>5%</w:t>
            </w:r>
          </w:p>
        </w:tc>
        <w:tc>
          <w:tcPr>
            <w:tcW w:w="2773" w:type="dxa"/>
          </w:tcPr>
          <w:p w:rsidR="00122BC1" w:rsidRDefault="00122BC1" w:rsidP="00E31FA7">
            <w:pPr>
              <w:jc w:val="right"/>
              <w:cnfStyle w:val="000000000000" w:firstRow="0" w:lastRow="0" w:firstColumn="0" w:lastColumn="0" w:oddVBand="0" w:evenVBand="0" w:oddHBand="0" w:evenHBand="0" w:firstRowFirstColumn="0" w:firstRowLastColumn="0" w:lastRowFirstColumn="0" w:lastRowLastColumn="0"/>
              <w:rPr>
                <w:b/>
              </w:rPr>
            </w:pPr>
            <w:r>
              <w:rPr>
                <w:b/>
              </w:rPr>
              <w:t>57,740</w:t>
            </w:r>
          </w:p>
          <w:p w:rsidR="00122BC1" w:rsidRDefault="00122BC1" w:rsidP="00E31FA7">
            <w:pPr>
              <w:jc w:val="right"/>
              <w:cnfStyle w:val="000000000000" w:firstRow="0" w:lastRow="0" w:firstColumn="0" w:lastColumn="0" w:oddVBand="0" w:evenVBand="0" w:oddHBand="0" w:evenHBand="0" w:firstRowFirstColumn="0" w:firstRowLastColumn="0" w:lastRowFirstColumn="0" w:lastRowLastColumn="0"/>
              <w:rPr>
                <w:b/>
              </w:rPr>
            </w:pPr>
            <w:r>
              <w:rPr>
                <w:b/>
              </w:rPr>
              <w:t>86,610</w:t>
            </w:r>
          </w:p>
          <w:p w:rsidR="00122BC1" w:rsidRDefault="00122BC1" w:rsidP="00E31FA7">
            <w:pPr>
              <w:jc w:val="right"/>
              <w:cnfStyle w:val="000000000000" w:firstRow="0" w:lastRow="0" w:firstColumn="0" w:lastColumn="0" w:oddVBand="0" w:evenVBand="0" w:oddHBand="0" w:evenHBand="0" w:firstRowFirstColumn="0" w:firstRowLastColumn="0" w:lastRowFirstColumn="0" w:lastRowLastColumn="0"/>
              <w:rPr>
                <w:b/>
              </w:rPr>
            </w:pPr>
            <w:r>
              <w:rPr>
                <w:b/>
              </w:rPr>
              <w:t>115,480</w:t>
            </w:r>
          </w:p>
          <w:p w:rsidR="00122BC1" w:rsidRPr="00E22DB5" w:rsidRDefault="00122BC1" w:rsidP="00E31FA7">
            <w:pPr>
              <w:jc w:val="right"/>
              <w:cnfStyle w:val="000000000000" w:firstRow="0" w:lastRow="0" w:firstColumn="0" w:lastColumn="0" w:oddVBand="0" w:evenVBand="0" w:oddHBand="0" w:evenHBand="0" w:firstRowFirstColumn="0" w:firstRowLastColumn="0" w:lastRowFirstColumn="0" w:lastRowLastColumn="0"/>
              <w:rPr>
                <w:b/>
              </w:rPr>
            </w:pPr>
            <w:r>
              <w:rPr>
                <w:b/>
              </w:rPr>
              <w:t>144,350</w:t>
            </w:r>
          </w:p>
        </w:tc>
      </w:tr>
      <w:tr w:rsidR="00122BC1" w:rsidTr="00E31F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rsidR="00122BC1" w:rsidRDefault="00122BC1" w:rsidP="00E31FA7">
            <w:r>
              <w:t>Likely to travel</w:t>
            </w:r>
          </w:p>
        </w:tc>
        <w:tc>
          <w:tcPr>
            <w:tcW w:w="2773" w:type="dxa"/>
          </w:tcPr>
          <w:p w:rsidR="00122BC1" w:rsidRDefault="00122BC1" w:rsidP="00E31FA7">
            <w:pPr>
              <w:cnfStyle w:val="000000100000" w:firstRow="0" w:lastRow="0" w:firstColumn="0" w:lastColumn="0" w:oddVBand="0" w:evenVBand="0" w:oddHBand="1" w:evenHBand="0" w:firstRowFirstColumn="0" w:firstRowLastColumn="0" w:lastRowFirstColumn="0" w:lastRowLastColumn="0"/>
            </w:pPr>
            <w:r>
              <w:t>2%-5%</w:t>
            </w:r>
          </w:p>
        </w:tc>
        <w:tc>
          <w:tcPr>
            <w:tcW w:w="2773" w:type="dxa"/>
          </w:tcPr>
          <w:p w:rsidR="00122BC1" w:rsidRDefault="00122BC1" w:rsidP="00E31FA7">
            <w:pPr>
              <w:jc w:val="right"/>
              <w:cnfStyle w:val="000000100000" w:firstRow="0" w:lastRow="0" w:firstColumn="0" w:lastColumn="0" w:oddVBand="0" w:evenVBand="0" w:oddHBand="1" w:evenHBand="0" w:firstRowFirstColumn="0" w:firstRowLastColumn="0" w:lastRowFirstColumn="0" w:lastRowLastColumn="0"/>
              <w:rPr>
                <w:b/>
              </w:rPr>
            </w:pPr>
            <w:r>
              <w:rPr>
                <w:b/>
              </w:rPr>
              <w:t xml:space="preserve">101,045 </w:t>
            </w:r>
            <w:proofErr w:type="spellStart"/>
            <w:r>
              <w:rPr>
                <w:b/>
              </w:rPr>
              <w:t>approx</w:t>
            </w:r>
            <w:proofErr w:type="spellEnd"/>
          </w:p>
        </w:tc>
      </w:tr>
    </w:tbl>
    <w:p w:rsidR="00122BC1" w:rsidRPr="00326F4F" w:rsidRDefault="00122BC1" w:rsidP="00122BC1">
      <w:r w:rsidRPr="00326F4F">
        <w:t>Table 1: Approx. segmentation for expected target market strategy.</w:t>
      </w:r>
    </w:p>
    <w:p w:rsidR="00122BC1" w:rsidRPr="00D53E99" w:rsidRDefault="00122BC1" w:rsidP="00122BC1">
      <w:pPr>
        <w:rPr>
          <w:sz w:val="24"/>
          <w:szCs w:val="24"/>
        </w:rPr>
      </w:pPr>
    </w:p>
    <w:p w:rsidR="00122BC1" w:rsidRPr="00D53E99" w:rsidRDefault="00122BC1" w:rsidP="00122BC1">
      <w:pPr>
        <w:rPr>
          <w:sz w:val="24"/>
          <w:szCs w:val="24"/>
        </w:rPr>
      </w:pPr>
      <w:r>
        <w:rPr>
          <w:sz w:val="24"/>
          <w:szCs w:val="24"/>
        </w:rPr>
        <w:t xml:space="preserve">   </w:t>
      </w:r>
      <w:r w:rsidRPr="00D53E99">
        <w:rPr>
          <w:sz w:val="24"/>
          <w:szCs w:val="24"/>
        </w:rPr>
        <w:t xml:space="preserve">As established prior, it has been estimated that between 2%-5% of consumers are going to purchase and travel to our designated tourism destination. Of that an average has been taken which equated to 101,045 who are likely to be interested in our offering. </w:t>
      </w:r>
    </w:p>
    <w:p w:rsidR="00122BC1" w:rsidRPr="00D53E99" w:rsidRDefault="00122BC1" w:rsidP="00122BC1">
      <w:pPr>
        <w:rPr>
          <w:sz w:val="24"/>
          <w:szCs w:val="24"/>
        </w:rPr>
      </w:pPr>
    </w:p>
    <w:p w:rsidR="00122BC1" w:rsidRDefault="00122BC1" w:rsidP="00122BC1">
      <w:pPr>
        <w:rPr>
          <w:sz w:val="24"/>
          <w:szCs w:val="24"/>
        </w:rPr>
      </w:pPr>
      <w:r>
        <w:rPr>
          <w:sz w:val="24"/>
          <w:szCs w:val="24"/>
        </w:rPr>
        <w:t xml:space="preserve">   </w:t>
      </w:r>
      <w:r w:rsidRPr="00D53E99">
        <w:rPr>
          <w:sz w:val="24"/>
          <w:szCs w:val="24"/>
        </w:rPr>
        <w:t xml:space="preserve">If we are to take into account the buying </w:t>
      </w:r>
      <w:proofErr w:type="spellStart"/>
      <w:r w:rsidRPr="00D53E99">
        <w:rPr>
          <w:sz w:val="24"/>
          <w:szCs w:val="24"/>
        </w:rPr>
        <w:t>behavior</w:t>
      </w:r>
      <w:proofErr w:type="spellEnd"/>
      <w:r w:rsidRPr="00D53E99">
        <w:rPr>
          <w:sz w:val="24"/>
          <w:szCs w:val="24"/>
        </w:rPr>
        <w:t xml:space="preserve"> bell curve, as shown below</w:t>
      </w:r>
      <w:r>
        <w:rPr>
          <w:sz w:val="24"/>
          <w:szCs w:val="24"/>
        </w:rPr>
        <w:t xml:space="preserve"> (chart 1)</w:t>
      </w:r>
      <w:r w:rsidRPr="00D53E99">
        <w:rPr>
          <w:sz w:val="24"/>
          <w:szCs w:val="24"/>
        </w:rPr>
        <w:t xml:space="preserve">, such figures can be obtained of those innovators, early adopters early majority, late majority and laggards of our potential target audience to partake in the offering of the tourism destination. </w:t>
      </w:r>
    </w:p>
    <w:p w:rsidR="00122BC1" w:rsidRDefault="00122BC1" w:rsidP="00122BC1">
      <w:pPr>
        <w:rPr>
          <w:sz w:val="24"/>
          <w:szCs w:val="24"/>
        </w:rPr>
      </w:pPr>
    </w:p>
    <w:p w:rsidR="00122BC1" w:rsidRDefault="00122BC1" w:rsidP="00122BC1">
      <w:pPr>
        <w:rPr>
          <w:sz w:val="24"/>
          <w:szCs w:val="24"/>
        </w:rPr>
      </w:pPr>
    </w:p>
    <w:p w:rsidR="00122BC1" w:rsidRDefault="00122BC1" w:rsidP="00122BC1">
      <w:r w:rsidRPr="00D53E99">
        <w:rPr>
          <w:sz w:val="24"/>
          <w:szCs w:val="24"/>
        </w:rPr>
        <w:t>The graph below indicates the buying behaviour of those who are potentially interested in our offering</w:t>
      </w:r>
      <w:r>
        <w:t xml:space="preserve">. </w:t>
      </w:r>
    </w:p>
    <w:p w:rsidR="00122BC1" w:rsidRDefault="00122BC1" w:rsidP="00122BC1">
      <w:r>
        <w:rPr>
          <w:noProof/>
          <w:lang w:eastAsia="en-AU"/>
        </w:rPr>
        <w:lastRenderedPageBreak/>
        <w:drawing>
          <wp:anchor distT="0" distB="0" distL="114300" distR="114300" simplePos="0" relativeHeight="251659264" behindDoc="0" locked="0" layoutInCell="1" allowOverlap="1" wp14:anchorId="49973BCF" wp14:editId="49DE5827">
            <wp:simplePos x="0" y="0"/>
            <wp:positionH relativeFrom="column">
              <wp:posOffset>0</wp:posOffset>
            </wp:positionH>
            <wp:positionV relativeFrom="paragraph">
              <wp:posOffset>106680</wp:posOffset>
            </wp:positionV>
            <wp:extent cx="5143500" cy="2857500"/>
            <wp:effectExtent l="0" t="0" r="12700" b="1270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14:sizeRelH relativeFrom="page">
              <wp14:pctWidth>0</wp14:pctWidth>
            </wp14:sizeRelH>
            <wp14:sizeRelV relativeFrom="page">
              <wp14:pctHeight>0</wp14:pctHeight>
            </wp14:sizeRelV>
          </wp:anchor>
        </w:drawing>
      </w:r>
      <w:r>
        <w:t>Chart 1</w:t>
      </w:r>
    </w:p>
    <w:p w:rsidR="00122BC1" w:rsidRPr="00DC4A0A" w:rsidRDefault="00122BC1" w:rsidP="00122BC1">
      <w:pPr>
        <w:rPr>
          <w:sz w:val="24"/>
          <w:szCs w:val="24"/>
        </w:rPr>
      </w:pPr>
    </w:p>
    <w:p w:rsidR="00122BC1" w:rsidRPr="00DC4A0A" w:rsidRDefault="00122BC1" w:rsidP="00122BC1">
      <w:pPr>
        <w:rPr>
          <w:sz w:val="24"/>
          <w:szCs w:val="24"/>
        </w:rPr>
      </w:pPr>
      <w:r>
        <w:rPr>
          <w:sz w:val="24"/>
          <w:szCs w:val="24"/>
        </w:rPr>
        <w:t xml:space="preserve">   </w:t>
      </w:r>
      <w:r w:rsidRPr="00DC4A0A">
        <w:rPr>
          <w:sz w:val="24"/>
          <w:szCs w:val="24"/>
        </w:rPr>
        <w:t>An increase in outbound tourism departures from Vietnam for leisure purposes and a projected for</w:t>
      </w:r>
      <w:r>
        <w:rPr>
          <w:sz w:val="24"/>
          <w:szCs w:val="24"/>
        </w:rPr>
        <w:t>e</w:t>
      </w:r>
      <w:r w:rsidRPr="00DC4A0A">
        <w:rPr>
          <w:sz w:val="24"/>
          <w:szCs w:val="24"/>
        </w:rPr>
        <w:t xml:space="preserve">cast in tourism growth, has shown that there has been an increase in couples travelling from Vietnam to outbound international tourism destinations. While it still may be a small percentage of overall departures (1.4% </w:t>
      </w:r>
      <w:proofErr w:type="spellStart"/>
      <w:r w:rsidRPr="00DC4A0A">
        <w:rPr>
          <w:sz w:val="24"/>
          <w:szCs w:val="24"/>
        </w:rPr>
        <w:t>Euromonitor</w:t>
      </w:r>
      <w:proofErr w:type="spellEnd"/>
      <w:r w:rsidRPr="00DC4A0A">
        <w:rPr>
          <w:sz w:val="24"/>
          <w:szCs w:val="24"/>
        </w:rPr>
        <w:t xml:space="preserve"> GMID 2014), this figure has grown since earlier stages and there is still an unaccounted departure type of 8.5% of total departures. </w:t>
      </w:r>
      <w:r>
        <w:rPr>
          <w:sz w:val="24"/>
          <w:szCs w:val="24"/>
        </w:rPr>
        <w:t xml:space="preserve"> (</w:t>
      </w:r>
      <w:proofErr w:type="gramStart"/>
      <w:r>
        <w:rPr>
          <w:sz w:val="24"/>
          <w:szCs w:val="24"/>
        </w:rPr>
        <w:t>refer</w:t>
      </w:r>
      <w:proofErr w:type="gramEnd"/>
      <w:r>
        <w:rPr>
          <w:sz w:val="24"/>
          <w:szCs w:val="24"/>
        </w:rPr>
        <w:t xml:space="preserve"> to Appendix)</w:t>
      </w:r>
    </w:p>
    <w:p w:rsidR="00122BC1" w:rsidRPr="00DC4A0A" w:rsidRDefault="00122BC1" w:rsidP="00122BC1">
      <w:pPr>
        <w:rPr>
          <w:sz w:val="24"/>
          <w:szCs w:val="24"/>
        </w:rPr>
      </w:pPr>
    </w:p>
    <w:p w:rsidR="00122BC1" w:rsidRDefault="00122BC1" w:rsidP="00122BC1">
      <w:pPr>
        <w:rPr>
          <w:sz w:val="24"/>
          <w:szCs w:val="24"/>
        </w:rPr>
      </w:pPr>
      <w:r>
        <w:rPr>
          <w:sz w:val="24"/>
          <w:szCs w:val="24"/>
        </w:rPr>
        <w:t xml:space="preserve">   </w:t>
      </w:r>
      <w:r w:rsidRPr="00DC4A0A">
        <w:rPr>
          <w:sz w:val="24"/>
          <w:szCs w:val="24"/>
        </w:rPr>
        <w:t>The table below states the percentage breakdown of outbound tourist from Vietnam in age bracket form. It can be stated that our target market fall within the bracket of which the most travellers fall into. This age demographic has experienced an increase trend due to factors such as a greater purchasing power, access to larger incomes and their increasing interest in “Westernization”.</w:t>
      </w:r>
    </w:p>
    <w:p w:rsidR="00122BC1" w:rsidRDefault="00122BC1" w:rsidP="00122BC1">
      <w:pPr>
        <w:rPr>
          <w:sz w:val="24"/>
          <w:szCs w:val="24"/>
        </w:rPr>
      </w:pPr>
    </w:p>
    <w:tbl>
      <w:tblPr>
        <w:tblStyle w:val="LightShading-Accent1"/>
        <w:tblW w:w="0" w:type="auto"/>
        <w:tblLook w:val="04A0" w:firstRow="1" w:lastRow="0" w:firstColumn="1" w:lastColumn="0" w:noHBand="0" w:noVBand="1"/>
      </w:tblPr>
      <w:tblGrid>
        <w:gridCol w:w="1216"/>
        <w:gridCol w:w="1216"/>
        <w:gridCol w:w="1216"/>
        <w:gridCol w:w="1217"/>
        <w:gridCol w:w="1217"/>
        <w:gridCol w:w="1217"/>
        <w:gridCol w:w="1217"/>
      </w:tblGrid>
      <w:tr w:rsidR="00122BC1" w:rsidTr="00E31F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6" w:type="dxa"/>
            <w:gridSpan w:val="7"/>
          </w:tcPr>
          <w:p w:rsidR="00122BC1" w:rsidRDefault="00122BC1" w:rsidP="00E31FA7">
            <w:r>
              <w:t>Holiday Takers by Age: % Breakdown 2007-2012</w:t>
            </w:r>
          </w:p>
        </w:tc>
      </w:tr>
      <w:tr w:rsidR="00122BC1" w:rsidTr="00E31F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6" w:type="dxa"/>
          </w:tcPr>
          <w:p w:rsidR="00122BC1" w:rsidRDefault="00122BC1" w:rsidP="00E31FA7"/>
        </w:tc>
        <w:tc>
          <w:tcPr>
            <w:tcW w:w="1216" w:type="dxa"/>
          </w:tcPr>
          <w:p w:rsidR="00122BC1" w:rsidRPr="003C0C73" w:rsidRDefault="00122BC1" w:rsidP="00E31FA7">
            <w:pPr>
              <w:cnfStyle w:val="000000100000" w:firstRow="0" w:lastRow="0" w:firstColumn="0" w:lastColumn="0" w:oddVBand="0" w:evenVBand="0" w:oddHBand="1" w:evenHBand="0" w:firstRowFirstColumn="0" w:firstRowLastColumn="0" w:lastRowFirstColumn="0" w:lastRowLastColumn="0"/>
              <w:rPr>
                <w:b/>
              </w:rPr>
            </w:pPr>
            <w:r w:rsidRPr="003C0C73">
              <w:rPr>
                <w:b/>
              </w:rPr>
              <w:t>2007</w:t>
            </w:r>
          </w:p>
        </w:tc>
        <w:tc>
          <w:tcPr>
            <w:tcW w:w="1216" w:type="dxa"/>
          </w:tcPr>
          <w:p w:rsidR="00122BC1" w:rsidRPr="003C0C73" w:rsidRDefault="00122BC1" w:rsidP="00E31FA7">
            <w:pPr>
              <w:cnfStyle w:val="000000100000" w:firstRow="0" w:lastRow="0" w:firstColumn="0" w:lastColumn="0" w:oddVBand="0" w:evenVBand="0" w:oddHBand="1" w:evenHBand="0" w:firstRowFirstColumn="0" w:firstRowLastColumn="0" w:lastRowFirstColumn="0" w:lastRowLastColumn="0"/>
              <w:rPr>
                <w:b/>
              </w:rPr>
            </w:pPr>
            <w:r w:rsidRPr="003C0C73">
              <w:rPr>
                <w:b/>
              </w:rPr>
              <w:t>2008</w:t>
            </w:r>
          </w:p>
        </w:tc>
        <w:tc>
          <w:tcPr>
            <w:tcW w:w="1217" w:type="dxa"/>
          </w:tcPr>
          <w:p w:rsidR="00122BC1" w:rsidRPr="003C0C73" w:rsidRDefault="00122BC1" w:rsidP="00E31FA7">
            <w:pPr>
              <w:cnfStyle w:val="000000100000" w:firstRow="0" w:lastRow="0" w:firstColumn="0" w:lastColumn="0" w:oddVBand="0" w:evenVBand="0" w:oddHBand="1" w:evenHBand="0" w:firstRowFirstColumn="0" w:firstRowLastColumn="0" w:lastRowFirstColumn="0" w:lastRowLastColumn="0"/>
              <w:rPr>
                <w:b/>
              </w:rPr>
            </w:pPr>
            <w:r w:rsidRPr="003C0C73">
              <w:rPr>
                <w:b/>
              </w:rPr>
              <w:t>2009</w:t>
            </w:r>
          </w:p>
        </w:tc>
        <w:tc>
          <w:tcPr>
            <w:tcW w:w="1217" w:type="dxa"/>
          </w:tcPr>
          <w:p w:rsidR="00122BC1" w:rsidRPr="003C0C73" w:rsidRDefault="00122BC1" w:rsidP="00E31FA7">
            <w:pPr>
              <w:cnfStyle w:val="000000100000" w:firstRow="0" w:lastRow="0" w:firstColumn="0" w:lastColumn="0" w:oddVBand="0" w:evenVBand="0" w:oddHBand="1" w:evenHBand="0" w:firstRowFirstColumn="0" w:firstRowLastColumn="0" w:lastRowFirstColumn="0" w:lastRowLastColumn="0"/>
              <w:rPr>
                <w:b/>
              </w:rPr>
            </w:pPr>
            <w:r w:rsidRPr="003C0C73">
              <w:rPr>
                <w:b/>
              </w:rPr>
              <w:t>2010</w:t>
            </w:r>
          </w:p>
        </w:tc>
        <w:tc>
          <w:tcPr>
            <w:tcW w:w="1217" w:type="dxa"/>
          </w:tcPr>
          <w:p w:rsidR="00122BC1" w:rsidRPr="003C0C73" w:rsidRDefault="00122BC1" w:rsidP="00E31FA7">
            <w:pPr>
              <w:cnfStyle w:val="000000100000" w:firstRow="0" w:lastRow="0" w:firstColumn="0" w:lastColumn="0" w:oddVBand="0" w:evenVBand="0" w:oddHBand="1" w:evenHBand="0" w:firstRowFirstColumn="0" w:firstRowLastColumn="0" w:lastRowFirstColumn="0" w:lastRowLastColumn="0"/>
              <w:rPr>
                <w:b/>
              </w:rPr>
            </w:pPr>
            <w:r w:rsidRPr="003C0C73">
              <w:rPr>
                <w:b/>
              </w:rPr>
              <w:t>2011</w:t>
            </w:r>
          </w:p>
        </w:tc>
        <w:tc>
          <w:tcPr>
            <w:tcW w:w="1217" w:type="dxa"/>
          </w:tcPr>
          <w:p w:rsidR="00122BC1" w:rsidRPr="003C0C73" w:rsidRDefault="00122BC1" w:rsidP="00E31FA7">
            <w:pPr>
              <w:cnfStyle w:val="000000100000" w:firstRow="0" w:lastRow="0" w:firstColumn="0" w:lastColumn="0" w:oddVBand="0" w:evenVBand="0" w:oddHBand="1" w:evenHBand="0" w:firstRowFirstColumn="0" w:firstRowLastColumn="0" w:lastRowFirstColumn="0" w:lastRowLastColumn="0"/>
              <w:rPr>
                <w:b/>
              </w:rPr>
            </w:pPr>
            <w:r w:rsidRPr="003C0C73">
              <w:rPr>
                <w:b/>
              </w:rPr>
              <w:t>2012</w:t>
            </w:r>
          </w:p>
        </w:tc>
      </w:tr>
      <w:tr w:rsidR="00122BC1" w:rsidTr="00E31FA7">
        <w:tc>
          <w:tcPr>
            <w:cnfStyle w:val="001000000000" w:firstRow="0" w:lastRow="0" w:firstColumn="1" w:lastColumn="0" w:oddVBand="0" w:evenVBand="0" w:oddHBand="0" w:evenHBand="0" w:firstRowFirstColumn="0" w:firstRowLastColumn="0" w:lastRowFirstColumn="0" w:lastRowLastColumn="0"/>
            <w:tcW w:w="1216" w:type="dxa"/>
          </w:tcPr>
          <w:p w:rsidR="00122BC1" w:rsidRDefault="00122BC1" w:rsidP="00E31FA7">
            <w:r>
              <w:t>0-14</w:t>
            </w:r>
          </w:p>
        </w:tc>
        <w:tc>
          <w:tcPr>
            <w:tcW w:w="1216"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1.0</w:t>
            </w:r>
          </w:p>
        </w:tc>
        <w:tc>
          <w:tcPr>
            <w:tcW w:w="1216"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1.1</w:t>
            </w:r>
          </w:p>
        </w:tc>
        <w:tc>
          <w:tcPr>
            <w:tcW w:w="1217"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0.9</w:t>
            </w:r>
          </w:p>
        </w:tc>
        <w:tc>
          <w:tcPr>
            <w:tcW w:w="1217"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0.9</w:t>
            </w:r>
          </w:p>
        </w:tc>
        <w:tc>
          <w:tcPr>
            <w:tcW w:w="1217"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0.8</w:t>
            </w:r>
          </w:p>
        </w:tc>
        <w:tc>
          <w:tcPr>
            <w:tcW w:w="1217"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0.8</w:t>
            </w:r>
          </w:p>
        </w:tc>
      </w:tr>
      <w:tr w:rsidR="00122BC1" w:rsidTr="00E31F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6" w:type="dxa"/>
          </w:tcPr>
          <w:p w:rsidR="00122BC1" w:rsidRDefault="00122BC1" w:rsidP="00E31FA7">
            <w:r>
              <w:t>15-24</w:t>
            </w:r>
          </w:p>
        </w:tc>
        <w:tc>
          <w:tcPr>
            <w:tcW w:w="1216" w:type="dxa"/>
          </w:tcPr>
          <w:p w:rsidR="00122BC1" w:rsidRDefault="00122BC1" w:rsidP="00E31FA7">
            <w:pPr>
              <w:cnfStyle w:val="000000100000" w:firstRow="0" w:lastRow="0" w:firstColumn="0" w:lastColumn="0" w:oddVBand="0" w:evenVBand="0" w:oddHBand="1" w:evenHBand="0" w:firstRowFirstColumn="0" w:firstRowLastColumn="0" w:lastRowFirstColumn="0" w:lastRowLastColumn="0"/>
            </w:pPr>
            <w:r>
              <w:t>7.3</w:t>
            </w:r>
          </w:p>
        </w:tc>
        <w:tc>
          <w:tcPr>
            <w:tcW w:w="1216" w:type="dxa"/>
          </w:tcPr>
          <w:p w:rsidR="00122BC1" w:rsidRDefault="00122BC1" w:rsidP="00E31FA7">
            <w:pPr>
              <w:cnfStyle w:val="000000100000" w:firstRow="0" w:lastRow="0" w:firstColumn="0" w:lastColumn="0" w:oddVBand="0" w:evenVBand="0" w:oddHBand="1" w:evenHBand="0" w:firstRowFirstColumn="0" w:firstRowLastColumn="0" w:lastRowFirstColumn="0" w:lastRowLastColumn="0"/>
            </w:pPr>
            <w:r>
              <w:t>7.4</w:t>
            </w:r>
          </w:p>
        </w:tc>
        <w:tc>
          <w:tcPr>
            <w:tcW w:w="1217" w:type="dxa"/>
          </w:tcPr>
          <w:p w:rsidR="00122BC1" w:rsidRDefault="00122BC1" w:rsidP="00E31FA7">
            <w:pPr>
              <w:cnfStyle w:val="000000100000" w:firstRow="0" w:lastRow="0" w:firstColumn="0" w:lastColumn="0" w:oddVBand="0" w:evenVBand="0" w:oddHBand="1" w:evenHBand="0" w:firstRowFirstColumn="0" w:firstRowLastColumn="0" w:lastRowFirstColumn="0" w:lastRowLastColumn="0"/>
            </w:pPr>
            <w:r>
              <w:t>7.4</w:t>
            </w:r>
          </w:p>
        </w:tc>
        <w:tc>
          <w:tcPr>
            <w:tcW w:w="1217" w:type="dxa"/>
          </w:tcPr>
          <w:p w:rsidR="00122BC1" w:rsidRDefault="00122BC1" w:rsidP="00E31FA7">
            <w:pPr>
              <w:cnfStyle w:val="000000100000" w:firstRow="0" w:lastRow="0" w:firstColumn="0" w:lastColumn="0" w:oddVBand="0" w:evenVBand="0" w:oddHBand="1" w:evenHBand="0" w:firstRowFirstColumn="0" w:firstRowLastColumn="0" w:lastRowFirstColumn="0" w:lastRowLastColumn="0"/>
            </w:pPr>
            <w:r>
              <w:t>7.2</w:t>
            </w:r>
          </w:p>
        </w:tc>
        <w:tc>
          <w:tcPr>
            <w:tcW w:w="1217" w:type="dxa"/>
          </w:tcPr>
          <w:p w:rsidR="00122BC1" w:rsidRDefault="00122BC1" w:rsidP="00E31FA7">
            <w:pPr>
              <w:cnfStyle w:val="000000100000" w:firstRow="0" w:lastRow="0" w:firstColumn="0" w:lastColumn="0" w:oddVBand="0" w:evenVBand="0" w:oddHBand="1" w:evenHBand="0" w:firstRowFirstColumn="0" w:firstRowLastColumn="0" w:lastRowFirstColumn="0" w:lastRowLastColumn="0"/>
            </w:pPr>
            <w:r>
              <w:t>7.2</w:t>
            </w:r>
          </w:p>
        </w:tc>
        <w:tc>
          <w:tcPr>
            <w:tcW w:w="1217" w:type="dxa"/>
          </w:tcPr>
          <w:p w:rsidR="00122BC1" w:rsidRDefault="00122BC1" w:rsidP="00E31FA7">
            <w:pPr>
              <w:cnfStyle w:val="000000100000" w:firstRow="0" w:lastRow="0" w:firstColumn="0" w:lastColumn="0" w:oddVBand="0" w:evenVBand="0" w:oddHBand="1" w:evenHBand="0" w:firstRowFirstColumn="0" w:firstRowLastColumn="0" w:lastRowFirstColumn="0" w:lastRowLastColumn="0"/>
            </w:pPr>
            <w:r>
              <w:t>7.2</w:t>
            </w:r>
          </w:p>
        </w:tc>
      </w:tr>
      <w:tr w:rsidR="00122BC1" w:rsidTr="00E31FA7">
        <w:tc>
          <w:tcPr>
            <w:cnfStyle w:val="001000000000" w:firstRow="0" w:lastRow="0" w:firstColumn="1" w:lastColumn="0" w:oddVBand="0" w:evenVBand="0" w:oddHBand="0" w:evenHBand="0" w:firstRowFirstColumn="0" w:firstRowLastColumn="0" w:lastRowFirstColumn="0" w:lastRowLastColumn="0"/>
            <w:tcW w:w="1216" w:type="dxa"/>
          </w:tcPr>
          <w:p w:rsidR="00122BC1" w:rsidRDefault="00122BC1" w:rsidP="00E31FA7">
            <w:r>
              <w:t>25-34</w:t>
            </w:r>
          </w:p>
        </w:tc>
        <w:tc>
          <w:tcPr>
            <w:tcW w:w="1216"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30.8</w:t>
            </w:r>
          </w:p>
        </w:tc>
        <w:tc>
          <w:tcPr>
            <w:tcW w:w="1216"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30.9</w:t>
            </w:r>
          </w:p>
        </w:tc>
        <w:tc>
          <w:tcPr>
            <w:tcW w:w="1217"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31.0</w:t>
            </w:r>
          </w:p>
        </w:tc>
        <w:tc>
          <w:tcPr>
            <w:tcW w:w="1217"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31.1</w:t>
            </w:r>
          </w:p>
        </w:tc>
        <w:tc>
          <w:tcPr>
            <w:tcW w:w="1217"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31.2</w:t>
            </w:r>
          </w:p>
        </w:tc>
        <w:tc>
          <w:tcPr>
            <w:tcW w:w="1217"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31.2</w:t>
            </w:r>
          </w:p>
        </w:tc>
      </w:tr>
      <w:tr w:rsidR="00122BC1" w:rsidTr="00E31F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6" w:type="dxa"/>
          </w:tcPr>
          <w:p w:rsidR="00122BC1" w:rsidRPr="00DC4A0A" w:rsidRDefault="00122BC1" w:rsidP="00E31FA7">
            <w:pPr>
              <w:rPr>
                <w:color w:val="auto"/>
              </w:rPr>
            </w:pPr>
            <w:r w:rsidRPr="00DC4A0A">
              <w:rPr>
                <w:color w:val="auto"/>
              </w:rPr>
              <w:t>35-49</w:t>
            </w:r>
          </w:p>
        </w:tc>
        <w:tc>
          <w:tcPr>
            <w:tcW w:w="1216" w:type="dxa"/>
          </w:tcPr>
          <w:p w:rsidR="00122BC1" w:rsidRPr="00DC4A0A" w:rsidRDefault="00122BC1" w:rsidP="00E31FA7">
            <w:pPr>
              <w:cnfStyle w:val="000000100000" w:firstRow="0" w:lastRow="0" w:firstColumn="0" w:lastColumn="0" w:oddVBand="0" w:evenVBand="0" w:oddHBand="1" w:evenHBand="0" w:firstRowFirstColumn="0" w:firstRowLastColumn="0" w:lastRowFirstColumn="0" w:lastRowLastColumn="0"/>
              <w:rPr>
                <w:b/>
                <w:color w:val="auto"/>
              </w:rPr>
            </w:pPr>
            <w:r w:rsidRPr="00DC4A0A">
              <w:rPr>
                <w:b/>
                <w:color w:val="auto"/>
              </w:rPr>
              <w:t>47.5</w:t>
            </w:r>
          </w:p>
        </w:tc>
        <w:tc>
          <w:tcPr>
            <w:tcW w:w="1216" w:type="dxa"/>
          </w:tcPr>
          <w:p w:rsidR="00122BC1" w:rsidRPr="00DC4A0A" w:rsidRDefault="00122BC1" w:rsidP="00E31FA7">
            <w:pPr>
              <w:cnfStyle w:val="000000100000" w:firstRow="0" w:lastRow="0" w:firstColumn="0" w:lastColumn="0" w:oddVBand="0" w:evenVBand="0" w:oddHBand="1" w:evenHBand="0" w:firstRowFirstColumn="0" w:firstRowLastColumn="0" w:lastRowFirstColumn="0" w:lastRowLastColumn="0"/>
              <w:rPr>
                <w:b/>
                <w:color w:val="auto"/>
              </w:rPr>
            </w:pPr>
            <w:r w:rsidRPr="00DC4A0A">
              <w:rPr>
                <w:b/>
                <w:color w:val="auto"/>
              </w:rPr>
              <w:t>47.5</w:t>
            </w:r>
          </w:p>
        </w:tc>
        <w:tc>
          <w:tcPr>
            <w:tcW w:w="1217" w:type="dxa"/>
          </w:tcPr>
          <w:p w:rsidR="00122BC1" w:rsidRPr="00DC4A0A" w:rsidRDefault="00122BC1" w:rsidP="00E31FA7">
            <w:pPr>
              <w:cnfStyle w:val="000000100000" w:firstRow="0" w:lastRow="0" w:firstColumn="0" w:lastColumn="0" w:oddVBand="0" w:evenVBand="0" w:oddHBand="1" w:evenHBand="0" w:firstRowFirstColumn="0" w:firstRowLastColumn="0" w:lastRowFirstColumn="0" w:lastRowLastColumn="0"/>
              <w:rPr>
                <w:b/>
                <w:color w:val="auto"/>
              </w:rPr>
            </w:pPr>
            <w:r w:rsidRPr="00DC4A0A">
              <w:rPr>
                <w:b/>
                <w:color w:val="auto"/>
              </w:rPr>
              <w:t>47.5</w:t>
            </w:r>
          </w:p>
        </w:tc>
        <w:tc>
          <w:tcPr>
            <w:tcW w:w="1217" w:type="dxa"/>
          </w:tcPr>
          <w:p w:rsidR="00122BC1" w:rsidRPr="00DC4A0A" w:rsidRDefault="00122BC1" w:rsidP="00E31FA7">
            <w:pPr>
              <w:cnfStyle w:val="000000100000" w:firstRow="0" w:lastRow="0" w:firstColumn="0" w:lastColumn="0" w:oddVBand="0" w:evenVBand="0" w:oddHBand="1" w:evenHBand="0" w:firstRowFirstColumn="0" w:firstRowLastColumn="0" w:lastRowFirstColumn="0" w:lastRowLastColumn="0"/>
              <w:rPr>
                <w:b/>
                <w:color w:val="auto"/>
              </w:rPr>
            </w:pPr>
            <w:r w:rsidRPr="00DC4A0A">
              <w:rPr>
                <w:b/>
                <w:color w:val="auto"/>
              </w:rPr>
              <w:t>47.5</w:t>
            </w:r>
          </w:p>
        </w:tc>
        <w:tc>
          <w:tcPr>
            <w:tcW w:w="1217" w:type="dxa"/>
          </w:tcPr>
          <w:p w:rsidR="00122BC1" w:rsidRPr="00DC4A0A" w:rsidRDefault="00122BC1" w:rsidP="00E31FA7">
            <w:pPr>
              <w:cnfStyle w:val="000000100000" w:firstRow="0" w:lastRow="0" w:firstColumn="0" w:lastColumn="0" w:oddVBand="0" w:evenVBand="0" w:oddHBand="1" w:evenHBand="0" w:firstRowFirstColumn="0" w:firstRowLastColumn="0" w:lastRowFirstColumn="0" w:lastRowLastColumn="0"/>
              <w:rPr>
                <w:b/>
                <w:color w:val="auto"/>
              </w:rPr>
            </w:pPr>
            <w:r w:rsidRPr="00DC4A0A">
              <w:rPr>
                <w:b/>
                <w:color w:val="auto"/>
              </w:rPr>
              <w:t>48.1</w:t>
            </w:r>
          </w:p>
        </w:tc>
        <w:tc>
          <w:tcPr>
            <w:tcW w:w="1217" w:type="dxa"/>
          </w:tcPr>
          <w:p w:rsidR="00122BC1" w:rsidRPr="00DC4A0A" w:rsidRDefault="00122BC1" w:rsidP="00E31FA7">
            <w:pPr>
              <w:cnfStyle w:val="000000100000" w:firstRow="0" w:lastRow="0" w:firstColumn="0" w:lastColumn="0" w:oddVBand="0" w:evenVBand="0" w:oddHBand="1" w:evenHBand="0" w:firstRowFirstColumn="0" w:firstRowLastColumn="0" w:lastRowFirstColumn="0" w:lastRowLastColumn="0"/>
              <w:rPr>
                <w:b/>
                <w:color w:val="auto"/>
              </w:rPr>
            </w:pPr>
            <w:r w:rsidRPr="00DC4A0A">
              <w:rPr>
                <w:b/>
                <w:color w:val="auto"/>
              </w:rPr>
              <w:t>48.3</w:t>
            </w:r>
          </w:p>
        </w:tc>
      </w:tr>
      <w:tr w:rsidR="00122BC1" w:rsidTr="00E31FA7">
        <w:tc>
          <w:tcPr>
            <w:cnfStyle w:val="001000000000" w:firstRow="0" w:lastRow="0" w:firstColumn="1" w:lastColumn="0" w:oddVBand="0" w:evenVBand="0" w:oddHBand="0" w:evenHBand="0" w:firstRowFirstColumn="0" w:firstRowLastColumn="0" w:lastRowFirstColumn="0" w:lastRowLastColumn="0"/>
            <w:tcW w:w="1216" w:type="dxa"/>
          </w:tcPr>
          <w:p w:rsidR="00122BC1" w:rsidRDefault="00122BC1" w:rsidP="00E31FA7">
            <w:r>
              <w:t>50-64</w:t>
            </w:r>
          </w:p>
        </w:tc>
        <w:tc>
          <w:tcPr>
            <w:tcW w:w="1216"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12.3</w:t>
            </w:r>
          </w:p>
        </w:tc>
        <w:tc>
          <w:tcPr>
            <w:tcW w:w="1216"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12.0</w:t>
            </w:r>
          </w:p>
        </w:tc>
        <w:tc>
          <w:tcPr>
            <w:tcW w:w="1217"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12.1</w:t>
            </w:r>
          </w:p>
        </w:tc>
        <w:tc>
          <w:tcPr>
            <w:tcW w:w="1217"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12.2</w:t>
            </w:r>
          </w:p>
        </w:tc>
        <w:tc>
          <w:tcPr>
            <w:tcW w:w="1217"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11.7</w:t>
            </w:r>
          </w:p>
        </w:tc>
        <w:tc>
          <w:tcPr>
            <w:tcW w:w="1217"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11.7</w:t>
            </w:r>
          </w:p>
        </w:tc>
      </w:tr>
      <w:tr w:rsidR="00122BC1" w:rsidTr="00E31F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6" w:type="dxa"/>
          </w:tcPr>
          <w:p w:rsidR="00122BC1" w:rsidRDefault="00122BC1" w:rsidP="00E31FA7">
            <w:r>
              <w:t>Over 65</w:t>
            </w:r>
          </w:p>
        </w:tc>
        <w:tc>
          <w:tcPr>
            <w:tcW w:w="1216" w:type="dxa"/>
          </w:tcPr>
          <w:p w:rsidR="00122BC1" w:rsidRDefault="00122BC1" w:rsidP="00E31FA7">
            <w:pPr>
              <w:cnfStyle w:val="000000100000" w:firstRow="0" w:lastRow="0" w:firstColumn="0" w:lastColumn="0" w:oddVBand="0" w:evenVBand="0" w:oddHBand="1" w:evenHBand="0" w:firstRowFirstColumn="0" w:firstRowLastColumn="0" w:lastRowFirstColumn="0" w:lastRowLastColumn="0"/>
            </w:pPr>
            <w:r>
              <w:t>1.1</w:t>
            </w:r>
          </w:p>
        </w:tc>
        <w:tc>
          <w:tcPr>
            <w:tcW w:w="1216" w:type="dxa"/>
          </w:tcPr>
          <w:p w:rsidR="00122BC1" w:rsidRDefault="00122BC1" w:rsidP="00E31FA7">
            <w:pPr>
              <w:cnfStyle w:val="000000100000" w:firstRow="0" w:lastRow="0" w:firstColumn="0" w:lastColumn="0" w:oddVBand="0" w:evenVBand="0" w:oddHBand="1" w:evenHBand="0" w:firstRowFirstColumn="0" w:firstRowLastColumn="0" w:lastRowFirstColumn="0" w:lastRowLastColumn="0"/>
            </w:pPr>
            <w:r>
              <w:t>1.1</w:t>
            </w:r>
          </w:p>
        </w:tc>
        <w:tc>
          <w:tcPr>
            <w:tcW w:w="1217" w:type="dxa"/>
          </w:tcPr>
          <w:p w:rsidR="00122BC1" w:rsidRDefault="00122BC1" w:rsidP="00E31FA7">
            <w:pPr>
              <w:cnfStyle w:val="000000100000" w:firstRow="0" w:lastRow="0" w:firstColumn="0" w:lastColumn="0" w:oddVBand="0" w:evenVBand="0" w:oddHBand="1" w:evenHBand="0" w:firstRowFirstColumn="0" w:firstRowLastColumn="0" w:lastRowFirstColumn="0" w:lastRowLastColumn="0"/>
            </w:pPr>
            <w:r>
              <w:t>1.1</w:t>
            </w:r>
          </w:p>
        </w:tc>
        <w:tc>
          <w:tcPr>
            <w:tcW w:w="1217" w:type="dxa"/>
          </w:tcPr>
          <w:p w:rsidR="00122BC1" w:rsidRDefault="00122BC1" w:rsidP="00E31FA7">
            <w:pPr>
              <w:cnfStyle w:val="000000100000" w:firstRow="0" w:lastRow="0" w:firstColumn="0" w:lastColumn="0" w:oddVBand="0" w:evenVBand="0" w:oddHBand="1" w:evenHBand="0" w:firstRowFirstColumn="0" w:firstRowLastColumn="0" w:lastRowFirstColumn="0" w:lastRowLastColumn="0"/>
            </w:pPr>
            <w:r>
              <w:t>1.1</w:t>
            </w:r>
          </w:p>
        </w:tc>
        <w:tc>
          <w:tcPr>
            <w:tcW w:w="1217" w:type="dxa"/>
          </w:tcPr>
          <w:p w:rsidR="00122BC1" w:rsidRDefault="00122BC1" w:rsidP="00E31FA7">
            <w:pPr>
              <w:cnfStyle w:val="000000100000" w:firstRow="0" w:lastRow="0" w:firstColumn="0" w:lastColumn="0" w:oddVBand="0" w:evenVBand="0" w:oddHBand="1" w:evenHBand="0" w:firstRowFirstColumn="0" w:firstRowLastColumn="0" w:lastRowFirstColumn="0" w:lastRowLastColumn="0"/>
            </w:pPr>
            <w:r>
              <w:t>1.0</w:t>
            </w:r>
          </w:p>
        </w:tc>
        <w:tc>
          <w:tcPr>
            <w:tcW w:w="1217" w:type="dxa"/>
          </w:tcPr>
          <w:p w:rsidR="00122BC1" w:rsidRDefault="00122BC1" w:rsidP="00E31FA7">
            <w:pPr>
              <w:cnfStyle w:val="000000100000" w:firstRow="0" w:lastRow="0" w:firstColumn="0" w:lastColumn="0" w:oddVBand="0" w:evenVBand="0" w:oddHBand="1" w:evenHBand="0" w:firstRowFirstColumn="0" w:firstRowLastColumn="0" w:lastRowFirstColumn="0" w:lastRowLastColumn="0"/>
            </w:pPr>
            <w:r>
              <w:t>1.9</w:t>
            </w:r>
          </w:p>
        </w:tc>
      </w:tr>
      <w:tr w:rsidR="00122BC1" w:rsidTr="00E31FA7">
        <w:tc>
          <w:tcPr>
            <w:cnfStyle w:val="001000000000" w:firstRow="0" w:lastRow="0" w:firstColumn="1" w:lastColumn="0" w:oddVBand="0" w:evenVBand="0" w:oddHBand="0" w:evenHBand="0" w:firstRowFirstColumn="0" w:firstRowLastColumn="0" w:lastRowFirstColumn="0" w:lastRowLastColumn="0"/>
            <w:tcW w:w="1216" w:type="dxa"/>
          </w:tcPr>
          <w:p w:rsidR="00122BC1" w:rsidRDefault="00122BC1" w:rsidP="00E31FA7">
            <w:r>
              <w:t>Total</w:t>
            </w:r>
          </w:p>
        </w:tc>
        <w:tc>
          <w:tcPr>
            <w:tcW w:w="1216"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100</w:t>
            </w:r>
          </w:p>
        </w:tc>
        <w:tc>
          <w:tcPr>
            <w:tcW w:w="1216"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100</w:t>
            </w:r>
          </w:p>
        </w:tc>
        <w:tc>
          <w:tcPr>
            <w:tcW w:w="1217"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100</w:t>
            </w:r>
          </w:p>
        </w:tc>
        <w:tc>
          <w:tcPr>
            <w:tcW w:w="1217"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100</w:t>
            </w:r>
          </w:p>
        </w:tc>
        <w:tc>
          <w:tcPr>
            <w:tcW w:w="1217"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100</w:t>
            </w:r>
          </w:p>
        </w:tc>
        <w:tc>
          <w:tcPr>
            <w:tcW w:w="1217" w:type="dxa"/>
          </w:tcPr>
          <w:p w:rsidR="00122BC1" w:rsidRDefault="00122BC1" w:rsidP="00E31FA7">
            <w:pPr>
              <w:cnfStyle w:val="000000000000" w:firstRow="0" w:lastRow="0" w:firstColumn="0" w:lastColumn="0" w:oddVBand="0" w:evenVBand="0" w:oddHBand="0" w:evenHBand="0" w:firstRowFirstColumn="0" w:firstRowLastColumn="0" w:lastRowFirstColumn="0" w:lastRowLastColumn="0"/>
            </w:pPr>
            <w:r>
              <w:t>100</w:t>
            </w:r>
          </w:p>
        </w:tc>
      </w:tr>
    </w:tbl>
    <w:p w:rsidR="00122BC1" w:rsidRDefault="00122BC1" w:rsidP="00122BC1">
      <w:r>
        <w:t xml:space="preserve">Source: </w:t>
      </w:r>
      <w:proofErr w:type="spellStart"/>
      <w:r>
        <w:t>Euromonitor</w:t>
      </w:r>
      <w:proofErr w:type="spellEnd"/>
      <w:r>
        <w:t xml:space="preserve"> International from official Statistics, trade associations, trade press, trade interviews. </w:t>
      </w:r>
      <w:proofErr w:type="spellStart"/>
      <w:r>
        <w:t>Eurominitor</w:t>
      </w:r>
      <w:proofErr w:type="spellEnd"/>
      <w:r>
        <w:t>: Passport, Travel and Tourism in Vietnam, 2013.</w:t>
      </w:r>
    </w:p>
    <w:p w:rsidR="00122BC1" w:rsidRDefault="00122BC1" w:rsidP="00122BC1">
      <w:pPr>
        <w:rPr>
          <w:sz w:val="24"/>
          <w:szCs w:val="24"/>
          <w:highlight w:val="yellow"/>
        </w:rPr>
      </w:pPr>
    </w:p>
    <w:p w:rsidR="00122BC1" w:rsidRDefault="00122BC1" w:rsidP="00122BC1">
      <w:pPr>
        <w:rPr>
          <w:sz w:val="24"/>
          <w:szCs w:val="24"/>
        </w:rPr>
      </w:pPr>
      <w:r w:rsidRPr="0039102D">
        <w:rPr>
          <w:sz w:val="24"/>
          <w:szCs w:val="24"/>
        </w:rPr>
        <w:t xml:space="preserve">A concentrated targeting strategy focused on the particular marketing niche market of the affluent earners of Vietnam living in urbanized areas on Hanoi and </w:t>
      </w:r>
      <w:proofErr w:type="spellStart"/>
      <w:r w:rsidRPr="0039102D">
        <w:rPr>
          <w:sz w:val="24"/>
          <w:szCs w:val="24"/>
        </w:rPr>
        <w:t>Ho</w:t>
      </w:r>
      <w:proofErr w:type="spellEnd"/>
      <w:r w:rsidRPr="0039102D">
        <w:rPr>
          <w:sz w:val="24"/>
          <w:szCs w:val="24"/>
        </w:rPr>
        <w:t xml:space="preserve"> Chi Minh </w:t>
      </w:r>
      <w:proofErr w:type="gramStart"/>
      <w:r w:rsidRPr="0039102D">
        <w:rPr>
          <w:sz w:val="24"/>
          <w:szCs w:val="24"/>
        </w:rPr>
        <w:t>city</w:t>
      </w:r>
      <w:proofErr w:type="gramEnd"/>
      <w:r w:rsidRPr="0039102D">
        <w:rPr>
          <w:sz w:val="24"/>
          <w:szCs w:val="24"/>
        </w:rPr>
        <w:t xml:space="preserve"> between the ages of 40-49. This targeting approach will allow us to focus our efforts on “understanding the needs and wants of our target consumer” (Toolkit.smallbix.nsw.gov.au, 2014) and thus being able to understand the specifics of what the target consumer is looking for out of a tourist destination. This targeting strategy will allow </w:t>
      </w:r>
      <w:proofErr w:type="spellStart"/>
      <w:r w:rsidRPr="0039102D">
        <w:rPr>
          <w:sz w:val="24"/>
          <w:szCs w:val="24"/>
        </w:rPr>
        <w:t>DriveAustralia</w:t>
      </w:r>
      <w:proofErr w:type="spellEnd"/>
      <w:r w:rsidRPr="0039102D">
        <w:rPr>
          <w:sz w:val="24"/>
          <w:szCs w:val="24"/>
        </w:rPr>
        <w:t xml:space="preserve"> to compete more effectively against larger firms either offering the same destination or targeted towards our similar audience. </w:t>
      </w:r>
    </w:p>
    <w:p w:rsidR="00122BC1" w:rsidRDefault="00122BC1" w:rsidP="00122BC1">
      <w:pPr>
        <w:rPr>
          <w:sz w:val="24"/>
          <w:szCs w:val="24"/>
        </w:rPr>
      </w:pPr>
    </w:p>
    <w:p w:rsidR="00122BC1" w:rsidRPr="0039102D" w:rsidRDefault="00122BC1" w:rsidP="00122BC1">
      <w:pPr>
        <w:rPr>
          <w:b/>
          <w:sz w:val="24"/>
          <w:szCs w:val="24"/>
        </w:rPr>
      </w:pPr>
      <w:r w:rsidRPr="0039102D">
        <w:rPr>
          <w:b/>
          <w:sz w:val="24"/>
          <w:szCs w:val="24"/>
        </w:rPr>
        <w:t>Expected Revenue</w:t>
      </w:r>
    </w:p>
    <w:p w:rsidR="00122BC1" w:rsidRPr="0039102D" w:rsidRDefault="00122BC1" w:rsidP="00122BC1"/>
    <w:p w:rsidR="00122BC1" w:rsidRPr="0039102D" w:rsidRDefault="00122BC1" w:rsidP="00122BC1">
      <w:pPr>
        <w:rPr>
          <w:sz w:val="24"/>
          <w:szCs w:val="24"/>
        </w:rPr>
      </w:pPr>
      <w:r w:rsidRPr="0039102D">
        <w:t xml:space="preserve">   </w:t>
      </w:r>
      <w:r w:rsidRPr="0039102D">
        <w:rPr>
          <w:sz w:val="24"/>
          <w:szCs w:val="24"/>
        </w:rPr>
        <w:t xml:space="preserve">In order for </w:t>
      </w:r>
      <w:proofErr w:type="spellStart"/>
      <w:r w:rsidRPr="0039102D">
        <w:rPr>
          <w:sz w:val="24"/>
          <w:szCs w:val="24"/>
        </w:rPr>
        <w:t>DriveAustralia</w:t>
      </w:r>
      <w:proofErr w:type="spellEnd"/>
      <w:r w:rsidRPr="0039102D">
        <w:rPr>
          <w:sz w:val="24"/>
          <w:szCs w:val="24"/>
        </w:rPr>
        <w:t xml:space="preserve"> to establish if creating and offering such service to the Vietnamese consumer will present as a viable option, attempting to create </w:t>
      </w:r>
      <w:proofErr w:type="gramStart"/>
      <w:r w:rsidRPr="0039102D">
        <w:rPr>
          <w:sz w:val="24"/>
          <w:szCs w:val="24"/>
        </w:rPr>
        <w:t>a</w:t>
      </w:r>
      <w:proofErr w:type="gramEnd"/>
      <w:r w:rsidRPr="0039102D">
        <w:rPr>
          <w:sz w:val="24"/>
          <w:szCs w:val="24"/>
        </w:rPr>
        <w:t xml:space="preserve"> estimation of revenue will give an insight into the potential success of the venture. To ascertain the potential minimum amount of revenue, a portion of our target audience who are likely to be interested in our offering, 101,045 (refer to table) of social class A, were then put through the adoption lifecycle curve in which we have taken the figure of early adopters (2526 Vietnamese). This figure was then multiplied by the lowest single person service fee ($628). It can then be obtained that these two statistics will bring in an estimated revenue of $1,586,328.</w:t>
      </w:r>
    </w:p>
    <w:p w:rsidR="00122BC1" w:rsidRPr="0039102D" w:rsidRDefault="00122BC1" w:rsidP="00122BC1">
      <w:pPr>
        <w:rPr>
          <w:sz w:val="24"/>
          <w:szCs w:val="24"/>
        </w:rPr>
      </w:pPr>
    </w:p>
    <w:p w:rsidR="00122BC1" w:rsidRPr="00C20255" w:rsidRDefault="00122BC1" w:rsidP="00122BC1">
      <w:pPr>
        <w:rPr>
          <w:sz w:val="24"/>
          <w:szCs w:val="24"/>
        </w:rPr>
      </w:pPr>
      <w:r w:rsidRPr="0039102D">
        <w:rPr>
          <w:sz w:val="24"/>
          <w:szCs w:val="24"/>
        </w:rPr>
        <w:t xml:space="preserve">   This amount will then be attributed towards to future long term goal of setting up a global office within Vietnam in Hanoi and </w:t>
      </w:r>
      <w:proofErr w:type="spellStart"/>
      <w:r w:rsidRPr="0039102D">
        <w:rPr>
          <w:sz w:val="24"/>
          <w:szCs w:val="24"/>
        </w:rPr>
        <w:t>Ho</w:t>
      </w:r>
      <w:proofErr w:type="spellEnd"/>
      <w:r w:rsidRPr="0039102D">
        <w:rPr>
          <w:sz w:val="24"/>
          <w:szCs w:val="24"/>
        </w:rPr>
        <w:t xml:space="preserve"> Chi Minh city, as well as innovative improvements towards the </w:t>
      </w:r>
      <w:proofErr w:type="spellStart"/>
      <w:r w:rsidRPr="0039102D">
        <w:rPr>
          <w:sz w:val="24"/>
          <w:szCs w:val="24"/>
        </w:rPr>
        <w:t>DriveAustralia</w:t>
      </w:r>
      <w:proofErr w:type="spellEnd"/>
      <w:r w:rsidRPr="0039102D">
        <w:rPr>
          <w:sz w:val="24"/>
          <w:szCs w:val="24"/>
        </w:rPr>
        <w:t xml:space="preserve"> application, website, increased advertising (potentially globally) and cost associated with the business venture.</w:t>
      </w:r>
      <w:r>
        <w:rPr>
          <w:sz w:val="24"/>
          <w:szCs w:val="24"/>
        </w:rPr>
        <w:t xml:space="preserve"> </w:t>
      </w:r>
    </w:p>
    <w:p w:rsidR="00554B86" w:rsidRDefault="00554B86"/>
    <w:sectPr w:rsidR="00554B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BC1"/>
    <w:rsid w:val="00122BC1"/>
    <w:rsid w:val="00554B8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F113DC-32A0-491F-ADB0-0D5452813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2BC1"/>
    <w:pPr>
      <w:spacing w:after="0" w:line="240" w:lineRule="auto"/>
    </w:pPr>
    <w:rPr>
      <w:rFonts w:ascii="Arial" w:eastAsiaTheme="minorEastAsia" w:hAnsi="Arial"/>
      <w:sz w:val="20"/>
      <w:szCs w:val="20"/>
    </w:rPr>
  </w:style>
  <w:style w:type="paragraph" w:styleId="Heading1">
    <w:name w:val="heading 1"/>
    <w:basedOn w:val="Normal"/>
    <w:next w:val="Normal"/>
    <w:link w:val="Heading1Char"/>
    <w:uiPriority w:val="9"/>
    <w:qFormat/>
    <w:rsid w:val="00122BC1"/>
    <w:pPr>
      <w:keepNext/>
      <w:keepLines/>
      <w:spacing w:before="480"/>
      <w:outlineLvl w:val="0"/>
    </w:pPr>
    <w:rPr>
      <w:rFonts w:asciiTheme="majorHAnsi" w:eastAsiaTheme="majorEastAsia" w:hAnsiTheme="majorHAnsi" w:cstheme="majorBidi"/>
      <w:b/>
      <w:bCs/>
      <w:color w:val="2C6EAB"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2BC1"/>
    <w:rPr>
      <w:rFonts w:asciiTheme="majorHAnsi" w:eastAsiaTheme="majorEastAsia" w:hAnsiTheme="majorHAnsi" w:cstheme="majorBidi"/>
      <w:b/>
      <w:bCs/>
      <w:color w:val="2C6EAB" w:themeColor="accent1" w:themeShade="B5"/>
      <w:sz w:val="32"/>
      <w:szCs w:val="32"/>
    </w:rPr>
  </w:style>
  <w:style w:type="table" w:styleId="LightShading-Accent1">
    <w:name w:val="Light Shading Accent 1"/>
    <w:basedOn w:val="TableNormal"/>
    <w:uiPriority w:val="60"/>
    <w:rsid w:val="00122BC1"/>
    <w:pPr>
      <w:spacing w:after="0" w:line="240" w:lineRule="auto"/>
    </w:pPr>
    <w:rPr>
      <w:rFonts w:ascii="Arial" w:eastAsiaTheme="minorEastAsia" w:hAnsi="Arial"/>
      <w:color w:val="2E74B5" w:themeColor="accent1" w:themeShade="BF"/>
      <w:sz w:val="20"/>
      <w:szCs w:val="20"/>
      <w:lang w:val="en-U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customStyle="1" w:styleId="Body">
    <w:name w:val="Body"/>
    <w:rsid w:val="00122BC1"/>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n-AU"/>
    </w:rPr>
  </w:style>
  <w:style w:type="paragraph" w:styleId="Title">
    <w:name w:val="Title"/>
    <w:basedOn w:val="Normal"/>
    <w:next w:val="Normal"/>
    <w:link w:val="TitleChar"/>
    <w:uiPriority w:val="10"/>
    <w:qFormat/>
    <w:rsid w:val="00122BC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2BC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oleObject" Target="Workbook2"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clustered"/>
        <c:varyColors val="0"/>
        <c:ser>
          <c:idx val="0"/>
          <c:order val="0"/>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Innovator</c:v>
                </c:pt>
                <c:pt idx="1">
                  <c:v>Early Adopter</c:v>
                </c:pt>
                <c:pt idx="2">
                  <c:v>Early Majority</c:v>
                </c:pt>
                <c:pt idx="3">
                  <c:v>Late Majority</c:v>
                </c:pt>
                <c:pt idx="4">
                  <c:v>Laggards</c:v>
                </c:pt>
              </c:strCache>
            </c:strRef>
          </c:cat>
          <c:val>
            <c:numRef>
              <c:f>Sheet1!$B$2:$B$6</c:f>
              <c:numCache>
                <c:formatCode>General</c:formatCode>
                <c:ptCount val="5"/>
                <c:pt idx="0">
                  <c:v>2526</c:v>
                </c:pt>
                <c:pt idx="1">
                  <c:v>13641</c:v>
                </c:pt>
                <c:pt idx="2">
                  <c:v>34355</c:v>
                </c:pt>
                <c:pt idx="3">
                  <c:v>34355</c:v>
                </c:pt>
                <c:pt idx="4">
                  <c:v>16167</c:v>
                </c:pt>
              </c:numCache>
            </c:numRef>
          </c:val>
        </c:ser>
        <c:dLbls>
          <c:dLblPos val="outEnd"/>
          <c:showLegendKey val="0"/>
          <c:showVal val="1"/>
          <c:showCatName val="0"/>
          <c:showSerName val="0"/>
          <c:showPercent val="0"/>
          <c:showBubbleSize val="0"/>
        </c:dLbls>
        <c:gapWidth val="150"/>
        <c:axId val="-14087200"/>
        <c:axId val="-14085568"/>
      </c:barChart>
      <c:catAx>
        <c:axId val="-14087200"/>
        <c:scaling>
          <c:orientation val="minMax"/>
        </c:scaling>
        <c:delete val="0"/>
        <c:axPos val="b"/>
        <c:title>
          <c:tx>
            <c:rich>
              <a:bodyPr/>
              <a:lstStyle/>
              <a:p>
                <a:pPr>
                  <a:defRPr/>
                </a:pPr>
                <a:r>
                  <a:rPr lang="en-US"/>
                  <a:t>Buyer Behaviour</a:t>
                </a:r>
              </a:p>
            </c:rich>
          </c:tx>
          <c:overlay val="0"/>
        </c:title>
        <c:numFmt formatCode="General" sourceLinked="0"/>
        <c:majorTickMark val="out"/>
        <c:minorTickMark val="none"/>
        <c:tickLblPos val="nextTo"/>
        <c:crossAx val="-14085568"/>
        <c:crosses val="autoZero"/>
        <c:auto val="1"/>
        <c:lblAlgn val="ctr"/>
        <c:lblOffset val="100"/>
        <c:noMultiLvlLbl val="0"/>
      </c:catAx>
      <c:valAx>
        <c:axId val="-14085568"/>
        <c:scaling>
          <c:orientation val="minMax"/>
        </c:scaling>
        <c:delete val="0"/>
        <c:axPos val="l"/>
        <c:majorGridlines/>
        <c:title>
          <c:tx>
            <c:rich>
              <a:bodyPr rot="-5400000" vert="horz"/>
              <a:lstStyle/>
              <a:p>
                <a:pPr>
                  <a:defRPr/>
                </a:pPr>
                <a:r>
                  <a:rPr lang="en-US"/>
                  <a:t>Number of potential consumers</a:t>
                </a:r>
              </a:p>
            </c:rich>
          </c:tx>
          <c:overlay val="0"/>
        </c:title>
        <c:numFmt formatCode="General" sourceLinked="1"/>
        <c:majorTickMark val="out"/>
        <c:minorTickMark val="none"/>
        <c:tickLblPos val="nextTo"/>
        <c:crossAx val="-14087200"/>
        <c:crosses val="autoZero"/>
        <c:crossBetween val="between"/>
      </c:valAx>
    </c:plotArea>
    <c:plotVisOnly val="1"/>
    <c:dispBlanksAs val="gap"/>
    <c:showDLblsOverMax val="0"/>
  </c:chart>
  <c:txPr>
    <a:bodyPr/>
    <a:lstStyle/>
    <a:p>
      <a:pPr>
        <a:defRPr>
          <a:latin typeface="Arial"/>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64CF73-C89D-4D9B-BE08-21B2ED4C6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1052</Words>
  <Characters>5998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dc:creator>
  <cp:keywords/>
  <dc:description/>
  <cp:lastModifiedBy>Filip</cp:lastModifiedBy>
  <cp:revision>1</cp:revision>
  <dcterms:created xsi:type="dcterms:W3CDTF">2015-10-07T06:49:00Z</dcterms:created>
  <dcterms:modified xsi:type="dcterms:W3CDTF">2015-10-07T06:59:00Z</dcterms:modified>
</cp:coreProperties>
</file>