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MGT 600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ASSIGNMENT 4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PART I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You have been asked for assistance regarding the type of survey(s) that should be used in five research situations. Recommend whether a personal interview, telephone interview, self-administered questionnaire via mail, fax or internet, or some combination should be used in each situation, and provide reasons for your choices.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(10 points each)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 The Vice President of Student Affairs wants to conduct a survey of university students to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rank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their preferences for four candidates running for student government President.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A real estate developer would like to survey residents in a new housing subdivision to understand the reasons they selected his area in which to live.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 The Chief Economist for a regional bank in Northern Georgia wants to understand the corporate financing needs of a sample of privately-held companies in his region.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Money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magazine wants to survey the CFOs of Fortune 500 companies to understand their forecasts for their sector of the U.S. economy.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 You are considering making a career change and want to explore job opportunities with companies in the beverage industry in Atlanta, Chicago, Dallas, and Toronto.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PART II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Below are five questions that might be found on questionnaires. Comment on each as to whether it is a “Good” question or not. If it is not, provide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specific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suggestions on how to improve/reword the question. Also indicate what type of responses you would request (yes/no, multiple choice, ranking, rating, open-ended, etc.)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 (10 points each)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 Do you read the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Wall Street Journal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Business Week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or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Forbes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magazine regularly?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 On a scale of 1 to 10, what is your satisfaction level with your organization’s policies on compensation, promotion, vacation, and health care coverage?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 Why did you decide to attend AIU?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 What percentage of your work week is spent handling email correspondence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(1) within and outside your department, and (2) inside and outside the company?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 What is your annual household discretionary income, has this income changed during the last three years, and what were the principal causes of these changes?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please all references should be provided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