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FranklinGothic-HeavyItalic" w:hAnsi="FranklinGothic-HeavyItalic" w:cs="FranklinGothic-HeavyItalic"/>
          <w:i/>
          <w:iCs/>
          <w:color w:val="000000"/>
          <w:sz w:val="52"/>
          <w:szCs w:val="52"/>
        </w:rPr>
      </w:pPr>
      <w:r>
        <w:rPr>
          <w:rFonts w:ascii="FranklinGothic-HeavyItalic" w:hAnsi="FranklinGothic-HeavyItalic" w:cs="FranklinGothic-HeavyItalic"/>
          <w:i/>
          <w:iCs/>
          <w:color w:val="000000"/>
          <w:sz w:val="52"/>
          <w:szCs w:val="52"/>
        </w:rPr>
        <w:t>Case 1: Purchase Point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FranklinGothic-HeavyItalic" w:hAnsi="FranklinGothic-HeavyItalic" w:cs="FranklinGothic-HeavyItalic"/>
          <w:i/>
          <w:iCs/>
          <w:color w:val="000000"/>
          <w:sz w:val="52"/>
          <w:szCs w:val="52"/>
        </w:rPr>
      </w:pPr>
      <w:r>
        <w:rPr>
          <w:rFonts w:ascii="FranklinGothic-HeavyItalic" w:hAnsi="FranklinGothic-HeavyItalic" w:cs="FranklinGothic-HeavyItalic"/>
          <w:i/>
          <w:iCs/>
          <w:color w:val="000000"/>
          <w:sz w:val="52"/>
          <w:szCs w:val="52"/>
        </w:rPr>
        <w:t>Media Corporation (PPMC)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FranklinGothic-Heavy" w:hAnsi="FranklinGothic-Heavy" w:cs="FranklinGothic-Heavy"/>
          <w:color w:val="0077BE"/>
          <w:sz w:val="44"/>
          <w:szCs w:val="44"/>
        </w:rPr>
      </w:pPr>
      <w:r>
        <w:rPr>
          <w:rFonts w:ascii="FranklinGothic-Heavy" w:hAnsi="FranklinGothic-Heavy" w:cs="FranklinGothic-Heavy"/>
          <w:color w:val="0077BE"/>
          <w:sz w:val="44"/>
          <w:szCs w:val="44"/>
        </w:rPr>
        <w:t>INTRODUCTION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This case is based on actual financial projections developed</w:t>
      </w:r>
      <w:bookmarkStart w:id="0" w:name="_GoBack"/>
      <w:bookmarkEnd w:id="0"/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and</w:t>
      </w:r>
      <w:proofErr w:type="gramEnd"/>
      <w:r>
        <w:rPr>
          <w:rFonts w:ascii="BookmanOldStyle" w:hAnsi="BookmanOldStyle" w:cs="BookmanOldStyle"/>
          <w:color w:val="000000"/>
        </w:rPr>
        <w:t xml:space="preserve"> provided by a publicly traded firm, Purchase Point Media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Corporation (PPMC). Carefully examine the PPMC projections,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which are presented in a sequence and format suitable for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break-even calculation and analysis. After you calculate the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break-even point, use additional, publicly available information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to come to a decision with respect to market potential.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The increase in the price per share of PPMC stock suggests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that, over time, the market may have reacted to their results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and analyses, using a comparable methodology.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FranklinGothic-Heavy" w:hAnsi="FranklinGothic-Heavy" w:cs="FranklinGothic-Heavy"/>
          <w:color w:val="0077BE"/>
          <w:sz w:val="44"/>
          <w:szCs w:val="44"/>
        </w:rPr>
      </w:pPr>
      <w:r>
        <w:rPr>
          <w:rFonts w:ascii="FranklinGothic-Heavy" w:hAnsi="FranklinGothic-Heavy" w:cs="FranklinGothic-Heavy"/>
          <w:color w:val="0077BE"/>
          <w:sz w:val="44"/>
          <w:szCs w:val="44"/>
        </w:rPr>
        <w:t>OBJECTIVES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When you complete this case, you’ll be able to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• Identify discernable errors, irregularities, and improprieties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in</w:t>
      </w:r>
      <w:proofErr w:type="gramEnd"/>
      <w:r>
        <w:rPr>
          <w:rFonts w:ascii="BookmanOldStyle" w:hAnsi="BookmanOldStyle" w:cs="BookmanOldStyle"/>
          <w:color w:val="000000"/>
        </w:rPr>
        <w:t xml:space="preserve"> style and format within publicly reported data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• Meet financial statement presentation requirements for a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specific</w:t>
      </w:r>
      <w:proofErr w:type="gramEnd"/>
      <w:r>
        <w:rPr>
          <w:rFonts w:ascii="BookmanOldStyle" w:hAnsi="BookmanOldStyle" w:cs="BookmanOldStyle"/>
          <w:color w:val="000000"/>
        </w:rPr>
        <w:t xml:space="preserve"> “real world” example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• Determine whether financial information provided follows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generally</w:t>
      </w:r>
      <w:proofErr w:type="gramEnd"/>
      <w:r>
        <w:rPr>
          <w:rFonts w:ascii="BookmanOldStyle" w:hAnsi="BookmanOldStyle" w:cs="BookmanOldStyle"/>
          <w:color w:val="000000"/>
        </w:rPr>
        <w:t xml:space="preserve"> accepted accounting principles (GAAP) or is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presented</w:t>
      </w:r>
      <w:proofErr w:type="gramEnd"/>
      <w:r>
        <w:rPr>
          <w:rFonts w:ascii="BookmanOldStyle" w:hAnsi="BookmanOldStyle" w:cs="BookmanOldStyle"/>
          <w:color w:val="000000"/>
        </w:rPr>
        <w:t xml:space="preserve"> in “good form”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 xml:space="preserve">• Distinguish between the </w:t>
      </w:r>
      <w:r>
        <w:rPr>
          <w:rFonts w:ascii="BookmanOldStyle-Italic" w:hAnsi="BookmanOldStyle-Italic" w:cs="BookmanOldStyle-Italic"/>
          <w:i/>
          <w:iCs/>
          <w:color w:val="000000"/>
        </w:rPr>
        <w:t xml:space="preserve">substance </w:t>
      </w:r>
      <w:r>
        <w:rPr>
          <w:rFonts w:ascii="BookmanOldStyle" w:hAnsi="BookmanOldStyle" w:cs="BookmanOldStyle"/>
          <w:color w:val="000000"/>
        </w:rPr>
        <w:t xml:space="preserve">and </w:t>
      </w:r>
      <w:r>
        <w:rPr>
          <w:rFonts w:ascii="BookmanOldStyle-Italic" w:hAnsi="BookmanOldStyle-Italic" w:cs="BookmanOldStyle-Italic"/>
          <w:i/>
          <w:iCs/>
          <w:color w:val="000000"/>
        </w:rPr>
        <w:t xml:space="preserve">form </w:t>
      </w:r>
      <w:r>
        <w:rPr>
          <w:rFonts w:ascii="BookmanOldStyle" w:hAnsi="BookmanOldStyle" w:cs="BookmanOldStyle"/>
          <w:color w:val="000000"/>
        </w:rPr>
        <w:t>of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financial</w:t>
      </w:r>
      <w:proofErr w:type="gramEnd"/>
      <w:r>
        <w:rPr>
          <w:rFonts w:ascii="BookmanOldStyle" w:hAnsi="BookmanOldStyle" w:cs="BookmanOldStyle"/>
          <w:color w:val="000000"/>
        </w:rPr>
        <w:t xml:space="preserve"> statements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• Estimate variable and fixed costs for a publicly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traded</w:t>
      </w:r>
      <w:proofErr w:type="gramEnd"/>
      <w:r>
        <w:rPr>
          <w:rFonts w:ascii="BookmanOldStyle" w:hAnsi="BookmanOldStyle" w:cs="BookmanOldStyle"/>
          <w:color w:val="000000"/>
        </w:rPr>
        <w:t xml:space="preserve"> company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• Assess publicly disseminated information from publicly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traded</w:t>
      </w:r>
      <w:proofErr w:type="gramEnd"/>
      <w:r>
        <w:rPr>
          <w:rFonts w:ascii="BookmanOldStyle" w:hAnsi="BookmanOldStyle" w:cs="BookmanOldStyle"/>
          <w:color w:val="000000"/>
        </w:rPr>
        <w:t xml:space="preserve"> companies to determine the feasibility of market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potential</w:t>
      </w:r>
      <w:proofErr w:type="gramEnd"/>
      <w:r>
        <w:rPr>
          <w:rFonts w:ascii="BookmanOldStyle" w:hAnsi="BookmanOldStyle" w:cs="BookmanOldStyle"/>
          <w:color w:val="000000"/>
        </w:rPr>
        <w:t xml:space="preserve"> and market penetration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• Exercise enhanced critical-thinking skills</w:t>
      </w:r>
    </w:p>
    <w:p w:rsidR="00F93FCD" w:rsidRDefault="001E21ED" w:rsidP="001E21ED">
      <w:pPr>
        <w:rPr>
          <w:rFonts w:ascii="Verdana-Bold" w:hAnsi="Verdana-Bold" w:cs="Verdana-Bold"/>
          <w:b/>
          <w:bCs/>
          <w:color w:val="FFFFFF"/>
          <w:sz w:val="18"/>
          <w:szCs w:val="18"/>
        </w:rPr>
      </w:pPr>
      <w:r>
        <w:rPr>
          <w:rFonts w:ascii="Verdana-Bold" w:hAnsi="Verdana-Bold" w:cs="Verdana-Bold"/>
          <w:b/>
          <w:bCs/>
          <w:color w:val="0077BE"/>
          <w:sz w:val="18"/>
          <w:szCs w:val="18"/>
        </w:rPr>
        <w:t xml:space="preserve">Senior Capstone: Business </w:t>
      </w:r>
      <w:r>
        <w:rPr>
          <w:rFonts w:ascii="Verdana-Bold" w:hAnsi="Verdana-Bold" w:cs="Verdana-Bold"/>
          <w:b/>
          <w:bCs/>
          <w:color w:val="FFFFFF"/>
          <w:sz w:val="18"/>
          <w:szCs w:val="18"/>
        </w:rPr>
        <w:t>9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FranklinGothic-Heavy" w:hAnsi="FranklinGothic-Heavy" w:cs="FranklinGothic-Heavy"/>
          <w:color w:val="0077BE"/>
          <w:sz w:val="44"/>
          <w:szCs w:val="44"/>
        </w:rPr>
      </w:pPr>
      <w:r>
        <w:rPr>
          <w:rFonts w:ascii="FranklinGothic-Heavy" w:hAnsi="FranklinGothic-Heavy" w:cs="FranklinGothic-Heavy"/>
          <w:color w:val="0077BE"/>
          <w:sz w:val="44"/>
          <w:szCs w:val="44"/>
        </w:rPr>
        <w:t>CASE BACKGROUND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Purchase Point Media Corporation (Pink Sheets: PPMC) is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what</w:t>
      </w:r>
      <w:proofErr w:type="gramEnd"/>
      <w:r>
        <w:rPr>
          <w:rFonts w:ascii="BookmanOldStyle" w:hAnsi="BookmanOldStyle" w:cs="BookmanOldStyle"/>
          <w:color w:val="000000"/>
        </w:rPr>
        <w:t xml:space="preserve"> some refer to as a thinly traded “corporate shell.” The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firm</w:t>
      </w:r>
      <w:proofErr w:type="gramEnd"/>
      <w:r>
        <w:rPr>
          <w:rFonts w:ascii="BookmanOldStyle" w:hAnsi="BookmanOldStyle" w:cs="BookmanOldStyle"/>
          <w:color w:val="000000"/>
        </w:rPr>
        <w:t xml:space="preserve"> held patents in the United States, Canada, United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Kingdom, and Germany for a shopping-cart display device,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but</w:t>
      </w:r>
      <w:proofErr w:type="gramEnd"/>
      <w:r>
        <w:rPr>
          <w:rFonts w:ascii="BookmanOldStyle" w:hAnsi="BookmanOldStyle" w:cs="BookmanOldStyle"/>
          <w:color w:val="000000"/>
        </w:rPr>
        <w:t xml:space="preserve"> was a </w:t>
      </w:r>
      <w:proofErr w:type="spellStart"/>
      <w:r>
        <w:rPr>
          <w:rFonts w:ascii="BookmanOldStyle" w:hAnsi="BookmanOldStyle" w:cs="BookmanOldStyle"/>
          <w:color w:val="000000"/>
        </w:rPr>
        <w:t>nonreporting</w:t>
      </w:r>
      <w:proofErr w:type="spellEnd"/>
      <w:r>
        <w:rPr>
          <w:rFonts w:ascii="BookmanOldStyle" w:hAnsi="BookmanOldStyle" w:cs="BookmanOldStyle"/>
          <w:color w:val="000000"/>
        </w:rPr>
        <w:t xml:space="preserve"> and </w:t>
      </w:r>
      <w:proofErr w:type="spellStart"/>
      <w:r>
        <w:rPr>
          <w:rFonts w:ascii="BookmanOldStyle" w:hAnsi="BookmanOldStyle" w:cs="BookmanOldStyle"/>
          <w:color w:val="000000"/>
        </w:rPr>
        <w:t>nonoperating</w:t>
      </w:r>
      <w:proofErr w:type="spellEnd"/>
      <w:r>
        <w:rPr>
          <w:rFonts w:ascii="BookmanOldStyle" w:hAnsi="BookmanOldStyle" w:cs="BookmanOldStyle"/>
          <w:color w:val="000000"/>
        </w:rPr>
        <w:t xml:space="preserve"> entity.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On March 18, 2002, PPMC reported its intention to sell these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patents</w:t>
      </w:r>
      <w:proofErr w:type="gramEnd"/>
      <w:r>
        <w:rPr>
          <w:rFonts w:ascii="BookmanOldStyle" w:hAnsi="BookmanOldStyle" w:cs="BookmanOldStyle"/>
          <w:color w:val="000000"/>
        </w:rPr>
        <w:t xml:space="preserve"> and related trademarks. The initial estimates suggested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a</w:t>
      </w:r>
      <w:proofErr w:type="gramEnd"/>
      <w:r>
        <w:rPr>
          <w:rFonts w:ascii="BookmanOldStyle" w:hAnsi="BookmanOldStyle" w:cs="BookmanOldStyle"/>
          <w:color w:val="000000"/>
        </w:rPr>
        <w:t xml:space="preserve"> stock price of nearly $2.50 per share, before related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per-share</w:t>
      </w:r>
      <w:proofErr w:type="gramEnd"/>
      <w:r>
        <w:rPr>
          <w:rFonts w:ascii="BookmanOldStyle" w:hAnsi="BookmanOldStyle" w:cs="BookmanOldStyle"/>
          <w:color w:val="000000"/>
        </w:rPr>
        <w:t xml:space="preserve"> deductions for sale-related broker’s commissions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and</w:t>
      </w:r>
      <w:proofErr w:type="gramEnd"/>
      <w:r>
        <w:rPr>
          <w:rFonts w:ascii="BookmanOldStyle" w:hAnsi="BookmanOldStyle" w:cs="BookmanOldStyle"/>
          <w:color w:val="000000"/>
        </w:rPr>
        <w:t xml:space="preserve"> legal fees. At the time of the news release, the firm’s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stock</w:t>
      </w:r>
      <w:proofErr w:type="gramEnd"/>
      <w:r>
        <w:rPr>
          <w:rFonts w:ascii="BookmanOldStyle" w:hAnsi="BookmanOldStyle" w:cs="BookmanOldStyle"/>
          <w:color w:val="000000"/>
        </w:rPr>
        <w:t xml:space="preserve"> was trading at $0.04 per share. In less than 60 days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the</w:t>
      </w:r>
      <w:proofErr w:type="gramEnd"/>
      <w:r>
        <w:rPr>
          <w:rFonts w:ascii="BookmanOldStyle" w:hAnsi="BookmanOldStyle" w:cs="BookmanOldStyle"/>
          <w:color w:val="000000"/>
        </w:rPr>
        <w:t xml:space="preserve"> stock was trading at more than $0.60 per share (</w:t>
      </w:r>
      <w:proofErr w:type="spellStart"/>
      <w:r>
        <w:rPr>
          <w:rFonts w:ascii="BookmanOldStyle" w:hAnsi="BookmanOldStyle" w:cs="BookmanOldStyle"/>
          <w:color w:val="000000"/>
        </w:rPr>
        <w:t>Cataldo</w:t>
      </w:r>
      <w:proofErr w:type="spellEnd"/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lastRenderedPageBreak/>
        <w:t>2003, 55–60), for a 1,400 percent increase in price per share.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(Note that investors and speculators alike would view this as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a</w:t>
      </w:r>
      <w:proofErr w:type="gramEnd"/>
      <w:r>
        <w:rPr>
          <w:rFonts w:ascii="BookmanOldStyle" w:hAnsi="BookmanOldStyle" w:cs="BookmanOldStyle"/>
          <w:color w:val="000000"/>
        </w:rPr>
        <w:t xml:space="preserve"> very risky investment, and the price per share for PPMC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stock</w:t>
      </w:r>
      <w:proofErr w:type="gramEnd"/>
      <w:r>
        <w:rPr>
          <w:rFonts w:ascii="BookmanOldStyle" w:hAnsi="BookmanOldStyle" w:cs="BookmanOldStyle"/>
          <w:color w:val="000000"/>
        </w:rPr>
        <w:t xml:space="preserve"> would be expected to fall short of or sell at a significant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discount</w:t>
      </w:r>
      <w:proofErr w:type="gramEnd"/>
      <w:r>
        <w:rPr>
          <w:rFonts w:ascii="BookmanOldStyle" w:hAnsi="BookmanOldStyle" w:cs="BookmanOldStyle"/>
          <w:color w:val="000000"/>
        </w:rPr>
        <w:t xml:space="preserve"> to the “anticipated” selling price for the firm’s intangible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assets</w:t>
      </w:r>
      <w:proofErr w:type="gramEnd"/>
      <w:r>
        <w:rPr>
          <w:rFonts w:ascii="BookmanOldStyle" w:hAnsi="BookmanOldStyle" w:cs="BookmanOldStyle"/>
          <w:color w:val="000000"/>
        </w:rPr>
        <w:t xml:space="preserve">. See </w:t>
      </w:r>
      <w:proofErr w:type="spellStart"/>
      <w:r>
        <w:rPr>
          <w:rFonts w:ascii="BookmanOldStyle" w:hAnsi="BookmanOldStyle" w:cs="BookmanOldStyle"/>
          <w:color w:val="000000"/>
        </w:rPr>
        <w:t>Arbel</w:t>
      </w:r>
      <w:proofErr w:type="spellEnd"/>
      <w:r>
        <w:rPr>
          <w:rFonts w:ascii="BookmanOldStyle" w:hAnsi="BookmanOldStyle" w:cs="BookmanOldStyle"/>
          <w:color w:val="000000"/>
        </w:rPr>
        <w:t xml:space="preserve"> and </w:t>
      </w:r>
      <w:proofErr w:type="spellStart"/>
      <w:r>
        <w:rPr>
          <w:rFonts w:ascii="BookmanOldStyle" w:hAnsi="BookmanOldStyle" w:cs="BookmanOldStyle"/>
          <w:color w:val="000000"/>
        </w:rPr>
        <w:t>Strebel</w:t>
      </w:r>
      <w:proofErr w:type="spellEnd"/>
      <w:r>
        <w:rPr>
          <w:rFonts w:ascii="BookmanOldStyle" w:hAnsi="BookmanOldStyle" w:cs="BookmanOldStyle"/>
          <w:color w:val="000000"/>
        </w:rPr>
        <w:t xml:space="preserve"> 1982 and 1983; </w:t>
      </w:r>
      <w:proofErr w:type="spellStart"/>
      <w:r>
        <w:rPr>
          <w:rFonts w:ascii="BookmanOldStyle" w:hAnsi="BookmanOldStyle" w:cs="BookmanOldStyle"/>
          <w:color w:val="000000"/>
        </w:rPr>
        <w:t>Arbel</w:t>
      </w:r>
      <w:proofErr w:type="spellEnd"/>
      <w:r>
        <w:rPr>
          <w:rFonts w:ascii="BookmanOldStyle" w:hAnsi="BookmanOldStyle" w:cs="BookmanOldStyle"/>
          <w:color w:val="000000"/>
        </w:rPr>
        <w:t>,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spellStart"/>
      <w:r>
        <w:rPr>
          <w:rFonts w:ascii="BookmanOldStyle" w:hAnsi="BookmanOldStyle" w:cs="BookmanOldStyle"/>
          <w:color w:val="000000"/>
        </w:rPr>
        <w:t>Carvell</w:t>
      </w:r>
      <w:proofErr w:type="spellEnd"/>
      <w:r>
        <w:rPr>
          <w:rFonts w:ascii="BookmanOldStyle" w:hAnsi="BookmanOldStyle" w:cs="BookmanOldStyle"/>
          <w:color w:val="000000"/>
        </w:rPr>
        <w:t xml:space="preserve"> and </w:t>
      </w:r>
      <w:proofErr w:type="spellStart"/>
      <w:r>
        <w:rPr>
          <w:rFonts w:ascii="BookmanOldStyle" w:hAnsi="BookmanOldStyle" w:cs="BookmanOldStyle"/>
          <w:color w:val="000000"/>
        </w:rPr>
        <w:t>Strebel</w:t>
      </w:r>
      <w:proofErr w:type="spellEnd"/>
      <w:r>
        <w:rPr>
          <w:rFonts w:ascii="BookmanOldStyle" w:hAnsi="BookmanOldStyle" w:cs="BookmanOldStyle"/>
          <w:color w:val="000000"/>
        </w:rPr>
        <w:t xml:space="preserve"> 1983; and </w:t>
      </w:r>
      <w:proofErr w:type="spellStart"/>
      <w:r>
        <w:rPr>
          <w:rFonts w:ascii="BookmanOldStyle" w:hAnsi="BookmanOldStyle" w:cs="BookmanOldStyle"/>
          <w:color w:val="000000"/>
        </w:rPr>
        <w:t>Arbel</w:t>
      </w:r>
      <w:proofErr w:type="spellEnd"/>
      <w:r>
        <w:rPr>
          <w:rFonts w:ascii="BookmanOldStyle" w:hAnsi="BookmanOldStyle" w:cs="BookmanOldStyle"/>
          <w:color w:val="000000"/>
        </w:rPr>
        <w:t xml:space="preserve"> 1985 for guidance on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thinly</w:t>
      </w:r>
      <w:proofErr w:type="gramEnd"/>
      <w:r>
        <w:rPr>
          <w:rFonts w:ascii="BookmanOldStyle" w:hAnsi="BookmanOldStyle" w:cs="BookmanOldStyle"/>
          <w:color w:val="000000"/>
        </w:rPr>
        <w:t xml:space="preserve"> traded or “neglected” firms.)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While this initial news release attracted speculators, causing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the</w:t>
      </w:r>
      <w:proofErr w:type="gramEnd"/>
      <w:r>
        <w:rPr>
          <w:rFonts w:ascii="BookmanOldStyle" w:hAnsi="BookmanOldStyle" w:cs="BookmanOldStyle"/>
          <w:color w:val="000000"/>
        </w:rPr>
        <w:t xml:space="preserve"> stock price to rise, after months without any additional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news</w:t>
      </w:r>
      <w:proofErr w:type="gramEnd"/>
      <w:r>
        <w:rPr>
          <w:rFonts w:ascii="BookmanOldStyle" w:hAnsi="BookmanOldStyle" w:cs="BookmanOldStyle"/>
          <w:color w:val="000000"/>
        </w:rPr>
        <w:t xml:space="preserve"> releases, the stock price drifted down again. On August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20, 2003, PPMC again announced its intention to sell the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firm’s</w:t>
      </w:r>
      <w:proofErr w:type="gramEnd"/>
      <w:r>
        <w:rPr>
          <w:rFonts w:ascii="BookmanOldStyle" w:hAnsi="BookmanOldStyle" w:cs="BookmanOldStyle"/>
          <w:color w:val="000000"/>
        </w:rPr>
        <w:t xml:space="preserve"> intangible assets (</w:t>
      </w:r>
      <w:r>
        <w:rPr>
          <w:rFonts w:ascii="BookmanOldStyle-Italic" w:hAnsi="BookmanOldStyle-Italic" w:cs="BookmanOldStyle-Italic"/>
          <w:i/>
          <w:iCs/>
          <w:color w:val="000000"/>
        </w:rPr>
        <w:t xml:space="preserve">Business Wire </w:t>
      </w:r>
      <w:r>
        <w:rPr>
          <w:rFonts w:ascii="BookmanOldStyle" w:hAnsi="BookmanOldStyle" w:cs="BookmanOldStyle"/>
          <w:color w:val="000000"/>
        </w:rPr>
        <w:t>2003).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In the second announcement, PPMC management referred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interested</w:t>
      </w:r>
      <w:proofErr w:type="gramEnd"/>
      <w:r>
        <w:rPr>
          <w:rFonts w:ascii="BookmanOldStyle" w:hAnsi="BookmanOldStyle" w:cs="BookmanOldStyle"/>
          <w:color w:val="000000"/>
        </w:rPr>
        <w:t xml:space="preserve"> investors to their corporate Web site. Among the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data</w:t>
      </w:r>
      <w:proofErr w:type="gramEnd"/>
      <w:r>
        <w:rPr>
          <w:rFonts w:ascii="BookmanOldStyle" w:hAnsi="BookmanOldStyle" w:cs="BookmanOldStyle"/>
          <w:color w:val="000000"/>
        </w:rPr>
        <w:t xml:space="preserve"> provided, PPMC included a financial projection and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other</w:t>
      </w:r>
      <w:proofErr w:type="gramEnd"/>
      <w:r>
        <w:rPr>
          <w:rFonts w:ascii="BookmanOldStyle" w:hAnsi="BookmanOldStyle" w:cs="BookmanOldStyle"/>
          <w:color w:val="000000"/>
        </w:rPr>
        <w:t xml:space="preserve"> items they felt might be of interest to potential purchasers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of</w:t>
      </w:r>
      <w:proofErr w:type="gramEnd"/>
      <w:r>
        <w:rPr>
          <w:rFonts w:ascii="BookmanOldStyle" w:hAnsi="BookmanOldStyle" w:cs="BookmanOldStyle"/>
          <w:color w:val="000000"/>
        </w:rPr>
        <w:t xml:space="preserve"> the firm’s intangible assets (see Exhibit 1,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Purchase Point Media Corp. statement, which follows).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To begin this case, review and comment on the “form” of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the</w:t>
      </w:r>
      <w:proofErr w:type="gramEnd"/>
      <w:r>
        <w:rPr>
          <w:rFonts w:ascii="BookmanOldStyle" w:hAnsi="BookmanOldStyle" w:cs="BookmanOldStyle"/>
          <w:color w:val="000000"/>
        </w:rPr>
        <w:t xml:space="preserve"> public disclosure circulated by PPMC. Then use the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“</w:t>
      </w:r>
      <w:proofErr w:type="gramStart"/>
      <w:r>
        <w:rPr>
          <w:rFonts w:ascii="BookmanOldStyle" w:hAnsi="BookmanOldStyle" w:cs="BookmanOldStyle"/>
          <w:color w:val="000000"/>
        </w:rPr>
        <w:t>substance</w:t>
      </w:r>
      <w:proofErr w:type="gramEnd"/>
      <w:r>
        <w:rPr>
          <w:rFonts w:ascii="BookmanOldStyle" w:hAnsi="BookmanOldStyle" w:cs="BookmanOldStyle"/>
          <w:color w:val="000000"/>
        </w:rPr>
        <w:t xml:space="preserve">” of this information to develop per-unit, </w:t>
      </w:r>
      <w:proofErr w:type="spellStart"/>
      <w:r>
        <w:rPr>
          <w:rFonts w:ascii="BookmanOldStyle" w:hAnsi="BookmanOldStyle" w:cs="BookmanOldStyle"/>
          <w:color w:val="000000"/>
        </w:rPr>
        <w:t>salesbased</w:t>
      </w:r>
      <w:proofErr w:type="spellEnd"/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contribution</w:t>
      </w:r>
      <w:proofErr w:type="gramEnd"/>
      <w:r>
        <w:rPr>
          <w:rFonts w:ascii="BookmanOldStyle" w:hAnsi="BookmanOldStyle" w:cs="BookmanOldStyle"/>
          <w:color w:val="000000"/>
        </w:rPr>
        <w:t xml:space="preserve"> margins and break-even points for the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first</w:t>
      </w:r>
      <w:proofErr w:type="gramEnd"/>
      <w:r>
        <w:rPr>
          <w:rFonts w:ascii="BookmanOldStyle" w:hAnsi="BookmanOldStyle" w:cs="BookmanOldStyle"/>
          <w:color w:val="000000"/>
        </w:rPr>
        <w:t xml:space="preserve"> year of operations. Last, gather other publicly available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information</w:t>
      </w:r>
      <w:proofErr w:type="gramEnd"/>
      <w:r>
        <w:rPr>
          <w:rFonts w:ascii="BookmanOldStyle" w:hAnsi="BookmanOldStyle" w:cs="BookmanOldStyle"/>
          <w:color w:val="000000"/>
        </w:rPr>
        <w:t xml:space="preserve"> to determine the market feasibility of achieving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its</w:t>
      </w:r>
      <w:proofErr w:type="gramEnd"/>
      <w:r>
        <w:rPr>
          <w:rFonts w:ascii="BookmanOldStyle" w:hAnsi="BookmanOldStyle" w:cs="BookmanOldStyle"/>
          <w:color w:val="000000"/>
        </w:rPr>
        <w:t xml:space="preserve"> break-even point.</w:t>
      </w:r>
    </w:p>
    <w:p w:rsidR="001E21ED" w:rsidRDefault="001E21ED" w:rsidP="001E21ED">
      <w:pPr>
        <w:rPr>
          <w:rFonts w:ascii="Verdana-Bold" w:hAnsi="Verdana-Bold" w:cs="Verdana-Bold"/>
          <w:b/>
          <w:bCs/>
          <w:color w:val="0077BE"/>
          <w:sz w:val="18"/>
          <w:szCs w:val="18"/>
        </w:rPr>
      </w:pPr>
      <w:r>
        <w:rPr>
          <w:rFonts w:ascii="Verdana-Bold" w:hAnsi="Verdana-Bold" w:cs="Verdana-Bold"/>
          <w:b/>
          <w:bCs/>
          <w:color w:val="FFFFFF"/>
          <w:sz w:val="18"/>
          <w:szCs w:val="18"/>
        </w:rPr>
        <w:t xml:space="preserve">10 </w:t>
      </w:r>
      <w:r>
        <w:rPr>
          <w:rFonts w:ascii="Verdana-Bold" w:hAnsi="Verdana-Bold" w:cs="Verdana-Bold"/>
          <w:b/>
          <w:bCs/>
          <w:color w:val="0077BE"/>
          <w:sz w:val="18"/>
          <w:szCs w:val="18"/>
        </w:rPr>
        <w:t>Senior Capstone: Business</w:t>
      </w:r>
    </w:p>
    <w:p w:rsidR="001E21ED" w:rsidRDefault="001E21ED" w:rsidP="001E21ED">
      <w:r>
        <w:rPr>
          <w:noProof/>
        </w:rPr>
        <w:lastRenderedPageBreak/>
        <w:drawing>
          <wp:inline distT="0" distB="0" distL="0" distR="0">
            <wp:extent cx="5943600" cy="732222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322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1ED" w:rsidRDefault="001E21ED" w:rsidP="001E21ED">
      <w:r>
        <w:rPr>
          <w:noProof/>
        </w:rPr>
        <w:lastRenderedPageBreak/>
        <w:drawing>
          <wp:inline distT="0" distB="0" distL="0" distR="0">
            <wp:extent cx="5943600" cy="734760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34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1ED" w:rsidRDefault="001E21ED" w:rsidP="001E21ED">
      <w:r>
        <w:rPr>
          <w:noProof/>
        </w:rPr>
        <w:lastRenderedPageBreak/>
        <w:drawing>
          <wp:inline distT="0" distB="0" distL="0" distR="0">
            <wp:extent cx="5943600" cy="7376017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376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1ED" w:rsidRDefault="001E21ED" w:rsidP="001E21ED"/>
    <w:p w:rsidR="001E21ED" w:rsidRDefault="001E21ED" w:rsidP="001E21ED">
      <w:r>
        <w:rPr>
          <w:noProof/>
        </w:rPr>
        <w:lastRenderedPageBreak/>
        <w:drawing>
          <wp:inline distT="0" distB="0" distL="0" distR="0">
            <wp:extent cx="5943600" cy="748800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48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1ED" w:rsidRDefault="001E21ED" w:rsidP="001E21ED"/>
    <w:p w:rsidR="001E21ED" w:rsidRDefault="001E21ED" w:rsidP="001E21ED">
      <w:r>
        <w:rPr>
          <w:noProof/>
        </w:rPr>
        <w:lastRenderedPageBreak/>
        <w:drawing>
          <wp:inline distT="0" distB="0" distL="0" distR="0">
            <wp:extent cx="5943600" cy="7413016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413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1ED" w:rsidRDefault="001E21ED" w:rsidP="001E21ED">
      <w:r>
        <w:rPr>
          <w:noProof/>
        </w:rPr>
        <w:lastRenderedPageBreak/>
        <w:drawing>
          <wp:inline distT="0" distB="0" distL="0" distR="0">
            <wp:extent cx="5943600" cy="7422524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422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1ED" w:rsidRDefault="001E21ED" w:rsidP="001E21ED">
      <w:r>
        <w:rPr>
          <w:noProof/>
        </w:rPr>
        <w:lastRenderedPageBreak/>
        <w:drawing>
          <wp:inline distT="0" distB="0" distL="0" distR="0">
            <wp:extent cx="5943600" cy="7030065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03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1ED" w:rsidRDefault="001E21ED" w:rsidP="001E21ED"/>
    <w:p w:rsidR="001E21ED" w:rsidRDefault="001E21ED" w:rsidP="001E21ED">
      <w:r>
        <w:rPr>
          <w:noProof/>
        </w:rPr>
        <w:lastRenderedPageBreak/>
        <w:drawing>
          <wp:inline distT="0" distB="0" distL="0" distR="0">
            <wp:extent cx="5943600" cy="7303963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303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1ED" w:rsidRDefault="001E21ED" w:rsidP="001E21ED"/>
    <w:p w:rsidR="001E21ED" w:rsidRDefault="001E21ED" w:rsidP="001E21ED">
      <w:r>
        <w:rPr>
          <w:noProof/>
        </w:rPr>
        <w:lastRenderedPageBreak/>
        <w:drawing>
          <wp:inline distT="0" distB="0" distL="0" distR="0">
            <wp:extent cx="5943600" cy="5119920"/>
            <wp:effectExtent l="1905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11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1ED" w:rsidRDefault="001E21ED" w:rsidP="001E21ED"/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077BE"/>
          <w:sz w:val="18"/>
          <w:szCs w:val="18"/>
        </w:rPr>
      </w:pPr>
      <w:r>
        <w:rPr>
          <w:rFonts w:ascii="Verdana-Bold" w:hAnsi="Verdana-Bold" w:cs="Verdana-Bold"/>
          <w:b/>
          <w:bCs/>
          <w:color w:val="FFFFFF"/>
          <w:sz w:val="18"/>
          <w:szCs w:val="18"/>
        </w:rPr>
        <w:t xml:space="preserve">20 </w:t>
      </w:r>
      <w:r>
        <w:rPr>
          <w:rFonts w:ascii="Verdana-Bold" w:hAnsi="Verdana-Bold" w:cs="Verdana-Bold"/>
          <w:b/>
          <w:bCs/>
          <w:color w:val="0077BE"/>
          <w:sz w:val="18"/>
          <w:szCs w:val="18"/>
        </w:rPr>
        <w:t>Senior Capstone: Business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FranklinGothic-Heavy" w:hAnsi="FranklinGothic-Heavy" w:cs="FranklinGothic-Heavy"/>
          <w:color w:val="0077BE"/>
          <w:sz w:val="44"/>
          <w:szCs w:val="44"/>
        </w:rPr>
      </w:pPr>
      <w:r>
        <w:rPr>
          <w:rFonts w:ascii="FranklinGothic-Heavy" w:hAnsi="FranklinGothic-Heavy" w:cs="FranklinGothic-Heavy"/>
          <w:color w:val="0077BE"/>
          <w:sz w:val="44"/>
          <w:szCs w:val="44"/>
        </w:rPr>
        <w:t>SUPPLEMENTAL INFORMATION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FranklinGothic-Heavy" w:hAnsi="FranklinGothic-Heavy" w:cs="FranklinGothic-Heavy"/>
          <w:color w:val="0077BE"/>
          <w:sz w:val="36"/>
          <w:szCs w:val="36"/>
        </w:rPr>
      </w:pPr>
      <w:r>
        <w:rPr>
          <w:rFonts w:ascii="FranklinGothic-Heavy" w:hAnsi="FranklinGothic-Heavy" w:cs="FranklinGothic-Heavy"/>
          <w:color w:val="0077BE"/>
          <w:sz w:val="36"/>
          <w:szCs w:val="36"/>
        </w:rPr>
        <w:t>Brand Name versus Generic Stocks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FranklinGothic-Heavy" w:hAnsi="FranklinGothic-Heavy" w:cs="FranklinGothic-Heavy"/>
          <w:color w:val="0077BE"/>
          <w:sz w:val="36"/>
          <w:szCs w:val="36"/>
        </w:rPr>
      </w:pPr>
      <w:r>
        <w:rPr>
          <w:rFonts w:ascii="FranklinGothic-Heavy" w:hAnsi="FranklinGothic-Heavy" w:cs="FranklinGothic-Heavy"/>
          <w:color w:val="0077BE"/>
          <w:sz w:val="36"/>
          <w:szCs w:val="36"/>
        </w:rPr>
        <w:t>Graphs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Supplemental information is provided in Figures 1 and 2.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Figure 1 illustrates the price per share for PPMC common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stock</w:t>
      </w:r>
      <w:proofErr w:type="gramEnd"/>
      <w:r>
        <w:rPr>
          <w:rFonts w:ascii="BookmanOldStyle" w:hAnsi="BookmanOldStyle" w:cs="BookmanOldStyle"/>
          <w:color w:val="000000"/>
        </w:rPr>
        <w:t xml:space="preserve"> for the time period August 20, 2003 through September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27, 2004. The latter date represents the specific event when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PPMC filed their 10QSB. Figure 2 compares the PPMC price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per</w:t>
      </w:r>
      <w:proofErr w:type="gramEnd"/>
      <w:r>
        <w:rPr>
          <w:rFonts w:ascii="BookmanOldStyle" w:hAnsi="BookmanOldStyle" w:cs="BookmanOldStyle"/>
          <w:color w:val="000000"/>
        </w:rPr>
        <w:t xml:space="preserve"> share with comparable index measures, such as the Dow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Jones Industrial Average, Standard and Poor’s 500, NASDAQ,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and</w:t>
      </w:r>
      <w:proofErr w:type="gramEnd"/>
      <w:r>
        <w:rPr>
          <w:rFonts w:ascii="BookmanOldStyle" w:hAnsi="BookmanOldStyle" w:cs="BookmanOldStyle"/>
          <w:color w:val="000000"/>
        </w:rPr>
        <w:t xml:space="preserve"> Russell 2000 indices, for the same period of time.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00000"/>
          <w:sz w:val="18"/>
          <w:szCs w:val="18"/>
        </w:rPr>
      </w:pPr>
      <w:r>
        <w:rPr>
          <w:rFonts w:ascii="Verdana-Bold" w:hAnsi="Verdana-Bold" w:cs="Verdana-Bold"/>
          <w:b/>
          <w:bCs/>
          <w:color w:val="000000"/>
          <w:sz w:val="18"/>
          <w:szCs w:val="18"/>
        </w:rPr>
        <w:t>Brand Name Stocks Generic Stocks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 xml:space="preserve">Less information risk </w:t>
      </w:r>
      <w:proofErr w:type="gramStart"/>
      <w:r>
        <w:rPr>
          <w:rFonts w:ascii="Verdana" w:hAnsi="Verdana" w:cs="Verdana"/>
          <w:color w:val="000000"/>
          <w:sz w:val="18"/>
          <w:szCs w:val="18"/>
        </w:rPr>
        <w:t>More</w:t>
      </w:r>
      <w:proofErr w:type="gramEnd"/>
      <w:r>
        <w:rPr>
          <w:rFonts w:ascii="Verdana" w:hAnsi="Verdana" w:cs="Verdana"/>
          <w:color w:val="000000"/>
          <w:sz w:val="18"/>
          <w:szCs w:val="18"/>
        </w:rPr>
        <w:t xml:space="preserve"> information risk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lastRenderedPageBreak/>
        <w:t>Higher quality of information Lower quality of information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Large sample of consensus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proofErr w:type="gramStart"/>
      <w:r>
        <w:rPr>
          <w:rFonts w:ascii="Verdana" w:hAnsi="Verdana" w:cs="Verdana"/>
          <w:color w:val="000000"/>
          <w:sz w:val="18"/>
          <w:szCs w:val="18"/>
        </w:rPr>
        <w:t>estimates</w:t>
      </w:r>
      <w:proofErr w:type="gramEnd"/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Small or no sample of consensus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proofErr w:type="gramStart"/>
      <w:r>
        <w:rPr>
          <w:rFonts w:ascii="Verdana" w:hAnsi="Verdana" w:cs="Verdana"/>
          <w:color w:val="000000"/>
          <w:sz w:val="18"/>
          <w:szCs w:val="18"/>
        </w:rPr>
        <w:t>estimates</w:t>
      </w:r>
      <w:proofErr w:type="gramEnd"/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Monitoring service or fee No monitoring service or fee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 xml:space="preserve">Lower return </w:t>
      </w:r>
      <w:proofErr w:type="gramStart"/>
      <w:r>
        <w:rPr>
          <w:rFonts w:ascii="Verdana" w:hAnsi="Verdana" w:cs="Verdana"/>
          <w:color w:val="000000"/>
          <w:sz w:val="18"/>
          <w:szCs w:val="18"/>
        </w:rPr>
        <w:t>Higher</w:t>
      </w:r>
      <w:proofErr w:type="gramEnd"/>
      <w:r>
        <w:rPr>
          <w:rFonts w:ascii="Verdana" w:hAnsi="Verdana" w:cs="Verdana"/>
          <w:color w:val="000000"/>
          <w:sz w:val="18"/>
          <w:szCs w:val="18"/>
        </w:rPr>
        <w:t xml:space="preserve"> return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Higher price (premium) Lower price (discount)</w:t>
      </w:r>
    </w:p>
    <w:p w:rsidR="001E21ED" w:rsidRDefault="001E21ED" w:rsidP="001E21ED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 xml:space="preserve">Lower uncertainty </w:t>
      </w:r>
      <w:proofErr w:type="gramStart"/>
      <w:r>
        <w:rPr>
          <w:rFonts w:ascii="Verdana" w:hAnsi="Verdana" w:cs="Verdana"/>
          <w:color w:val="000000"/>
          <w:sz w:val="18"/>
          <w:szCs w:val="18"/>
        </w:rPr>
        <w:t>Higher</w:t>
      </w:r>
      <w:proofErr w:type="gramEnd"/>
      <w:r>
        <w:rPr>
          <w:rFonts w:ascii="Verdana" w:hAnsi="Verdana" w:cs="Verdana"/>
          <w:color w:val="000000"/>
          <w:sz w:val="18"/>
          <w:szCs w:val="18"/>
        </w:rPr>
        <w:t xml:space="preserve"> uncertainty</w:t>
      </w:r>
    </w:p>
    <w:p w:rsidR="00675BB0" w:rsidRDefault="001E21ED" w:rsidP="00675BB0">
      <w:pPr>
        <w:autoSpaceDE w:val="0"/>
        <w:autoSpaceDN w:val="0"/>
        <w:adjustRightInd w:val="0"/>
        <w:spacing w:after="0" w:line="240" w:lineRule="auto"/>
        <w:rPr>
          <w:rFonts w:ascii="FranklinGothic-Heavy" w:hAnsi="FranklinGothic-Heavy" w:cs="FranklinGothic-Heavy"/>
          <w:color w:val="0077BE"/>
          <w:sz w:val="36"/>
          <w:szCs w:val="36"/>
        </w:rPr>
      </w:pPr>
      <w:proofErr w:type="spellStart"/>
      <w:r>
        <w:rPr>
          <w:rFonts w:ascii="Verdana" w:hAnsi="Verdana" w:cs="Verdana"/>
          <w:color w:val="000000"/>
          <w:sz w:val="18"/>
          <w:szCs w:val="18"/>
        </w:rPr>
        <w:t>Mo</w:t>
      </w:r>
      <w:r w:rsidR="00675BB0">
        <w:rPr>
          <w:rFonts w:ascii="FranklinGothic-Heavy" w:hAnsi="FranklinGothic-Heavy" w:cs="FranklinGothic-Heavy"/>
          <w:color w:val="0077BE"/>
          <w:sz w:val="36"/>
          <w:szCs w:val="36"/>
        </w:rPr>
        <w:t>Graphs</w:t>
      </w:r>
      <w:proofErr w:type="spellEnd"/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Supplemental information is provided in Figures 1 and 2.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Figure 1 illustrates the price per share for PPMC common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stock</w:t>
      </w:r>
      <w:proofErr w:type="gramEnd"/>
      <w:r>
        <w:rPr>
          <w:rFonts w:ascii="BookmanOldStyle" w:hAnsi="BookmanOldStyle" w:cs="BookmanOldStyle"/>
          <w:color w:val="000000"/>
        </w:rPr>
        <w:t xml:space="preserve"> for the time period August 20, 2003 through September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27, 2004. The latter date represents the specific event when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PPMC filed their 10QSB. Figure 2 compares the PPMC price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per</w:t>
      </w:r>
      <w:proofErr w:type="gramEnd"/>
      <w:r>
        <w:rPr>
          <w:rFonts w:ascii="BookmanOldStyle" w:hAnsi="BookmanOldStyle" w:cs="BookmanOldStyle"/>
          <w:color w:val="000000"/>
        </w:rPr>
        <w:t xml:space="preserve"> share with comparable index measures, such as the Dow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Jones Industrial Average, Standard and Poor’s 500, NASDAQ,</w:t>
      </w:r>
    </w:p>
    <w:p w:rsidR="00675BB0" w:rsidRDefault="00675BB0" w:rsidP="00675BB0">
      <w:pPr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and</w:t>
      </w:r>
      <w:proofErr w:type="gramEnd"/>
      <w:r>
        <w:rPr>
          <w:rFonts w:ascii="BookmanOldStyle" w:hAnsi="BookmanOldStyle" w:cs="BookmanOldStyle"/>
          <w:color w:val="000000"/>
        </w:rPr>
        <w:t xml:space="preserve"> Russell 2000 indices, for the same period of time.</w:t>
      </w:r>
    </w:p>
    <w:p w:rsidR="001E21ED" w:rsidRDefault="00675BB0" w:rsidP="00675BB0">
      <w:pPr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noProof/>
          <w:color w:val="000000"/>
          <w:sz w:val="18"/>
          <w:szCs w:val="18"/>
        </w:rPr>
        <w:lastRenderedPageBreak/>
        <w:drawing>
          <wp:inline distT="0" distB="0" distL="0" distR="0">
            <wp:extent cx="5591175" cy="3857625"/>
            <wp:effectExtent l="1905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noProof/>
          <w:color w:val="000000"/>
          <w:sz w:val="18"/>
          <w:szCs w:val="18"/>
        </w:rPr>
        <w:drawing>
          <wp:inline distT="0" distB="0" distL="0" distR="0">
            <wp:extent cx="5591175" cy="3429000"/>
            <wp:effectExtent l="1905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BB0" w:rsidRDefault="00675BB0" w:rsidP="00675BB0">
      <w:pPr>
        <w:rPr>
          <w:rFonts w:ascii="Verdana" w:hAnsi="Verdana" w:cs="Verdana"/>
          <w:color w:val="000000"/>
          <w:sz w:val="18"/>
          <w:szCs w:val="18"/>
        </w:rPr>
      </w:pP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FranklinGothic-Heavy" w:hAnsi="FranklinGothic-Heavy" w:cs="FranklinGothic-Heavy"/>
          <w:color w:val="0077BE"/>
          <w:sz w:val="36"/>
          <w:szCs w:val="36"/>
        </w:rPr>
      </w:pPr>
      <w:r>
        <w:rPr>
          <w:rFonts w:ascii="FranklinGothic-Heavy" w:hAnsi="FranklinGothic-Heavy" w:cs="FranklinGothic-Heavy"/>
          <w:color w:val="0077BE"/>
          <w:sz w:val="36"/>
          <w:szCs w:val="36"/>
        </w:rPr>
        <w:t>References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spellStart"/>
      <w:r>
        <w:rPr>
          <w:rFonts w:ascii="BookmanOldStyle" w:hAnsi="BookmanOldStyle" w:cs="BookmanOldStyle"/>
          <w:color w:val="000000"/>
        </w:rPr>
        <w:t>Arbel</w:t>
      </w:r>
      <w:proofErr w:type="spellEnd"/>
      <w:r>
        <w:rPr>
          <w:rFonts w:ascii="BookmanOldStyle" w:hAnsi="BookmanOldStyle" w:cs="BookmanOldStyle"/>
          <w:color w:val="000000"/>
        </w:rPr>
        <w:t>, A. 1985. Generic Stocks: An old product in a new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lastRenderedPageBreak/>
        <w:t>package</w:t>
      </w:r>
      <w:proofErr w:type="gramEnd"/>
      <w:r>
        <w:rPr>
          <w:rFonts w:ascii="BookmanOldStyle" w:hAnsi="BookmanOldStyle" w:cs="BookmanOldStyle"/>
          <w:color w:val="000000"/>
        </w:rPr>
        <w:t xml:space="preserve">. </w:t>
      </w:r>
      <w:r>
        <w:rPr>
          <w:rFonts w:ascii="BookmanOldStyle-Italic" w:hAnsi="BookmanOldStyle-Italic" w:cs="BookmanOldStyle-Italic"/>
          <w:i/>
          <w:iCs/>
          <w:color w:val="000000"/>
        </w:rPr>
        <w:t xml:space="preserve">The Journal of Portfolio Management </w:t>
      </w:r>
      <w:r>
        <w:rPr>
          <w:rFonts w:ascii="BookmanOldStyle" w:hAnsi="BookmanOldStyle" w:cs="BookmanOldStyle"/>
          <w:color w:val="000000"/>
        </w:rPr>
        <w:t>68: 4–13.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spellStart"/>
      <w:r>
        <w:rPr>
          <w:rFonts w:ascii="BookmanOldStyle" w:hAnsi="BookmanOldStyle" w:cs="BookmanOldStyle"/>
          <w:color w:val="000000"/>
        </w:rPr>
        <w:t>Arbel</w:t>
      </w:r>
      <w:proofErr w:type="spellEnd"/>
      <w:r>
        <w:rPr>
          <w:rFonts w:ascii="BookmanOldStyle" w:hAnsi="BookmanOldStyle" w:cs="BookmanOldStyle"/>
          <w:color w:val="000000"/>
        </w:rPr>
        <w:t xml:space="preserve">, A., </w:t>
      </w:r>
      <w:proofErr w:type="spellStart"/>
      <w:r>
        <w:rPr>
          <w:rFonts w:ascii="BookmanOldStyle" w:hAnsi="BookmanOldStyle" w:cs="BookmanOldStyle"/>
          <w:color w:val="000000"/>
        </w:rPr>
        <w:t>Carvell</w:t>
      </w:r>
      <w:proofErr w:type="spellEnd"/>
      <w:r>
        <w:rPr>
          <w:rFonts w:ascii="BookmanOldStyle" w:hAnsi="BookmanOldStyle" w:cs="BookmanOldStyle"/>
          <w:color w:val="000000"/>
        </w:rPr>
        <w:t xml:space="preserve">, S., and </w:t>
      </w:r>
      <w:proofErr w:type="spellStart"/>
      <w:r>
        <w:rPr>
          <w:rFonts w:ascii="BookmanOldStyle" w:hAnsi="BookmanOldStyle" w:cs="BookmanOldStyle"/>
          <w:color w:val="000000"/>
        </w:rPr>
        <w:t>Strebel</w:t>
      </w:r>
      <w:proofErr w:type="spellEnd"/>
      <w:r>
        <w:rPr>
          <w:rFonts w:ascii="BookmanOldStyle" w:hAnsi="BookmanOldStyle" w:cs="BookmanOldStyle"/>
          <w:color w:val="000000"/>
        </w:rPr>
        <w:t>, P. 1983. Giraffes,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-Italic" w:hAnsi="BookmanOldStyle-Italic" w:cs="BookmanOldStyle-Italic"/>
          <w:i/>
          <w:iCs/>
          <w:color w:val="000000"/>
        </w:rPr>
      </w:pPr>
      <w:r>
        <w:rPr>
          <w:rFonts w:ascii="BookmanOldStyle" w:hAnsi="BookmanOldStyle" w:cs="BookmanOldStyle"/>
          <w:color w:val="000000"/>
        </w:rPr>
        <w:t xml:space="preserve">Institutions and Neglected Firms. </w:t>
      </w:r>
      <w:r>
        <w:rPr>
          <w:rFonts w:ascii="BookmanOldStyle-Italic" w:hAnsi="BookmanOldStyle-Italic" w:cs="BookmanOldStyle-Italic"/>
          <w:i/>
          <w:iCs/>
          <w:color w:val="000000"/>
        </w:rPr>
        <w:t>Financial Analysts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-Italic" w:hAnsi="BookmanOldStyle-Italic" w:cs="BookmanOldStyle-Italic"/>
          <w:i/>
          <w:iCs/>
          <w:color w:val="000000"/>
        </w:rPr>
        <w:t xml:space="preserve">Journal </w:t>
      </w:r>
      <w:r>
        <w:rPr>
          <w:rFonts w:ascii="BookmanOldStyle" w:hAnsi="BookmanOldStyle" w:cs="BookmanOldStyle"/>
          <w:color w:val="000000"/>
        </w:rPr>
        <w:t>39: 57–63.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spellStart"/>
      <w:r>
        <w:rPr>
          <w:rFonts w:ascii="BookmanOldStyle" w:hAnsi="BookmanOldStyle" w:cs="BookmanOldStyle"/>
          <w:color w:val="000000"/>
        </w:rPr>
        <w:t>Arbel</w:t>
      </w:r>
      <w:proofErr w:type="spellEnd"/>
      <w:r>
        <w:rPr>
          <w:rFonts w:ascii="BookmanOldStyle" w:hAnsi="BookmanOldStyle" w:cs="BookmanOldStyle"/>
          <w:color w:val="000000"/>
        </w:rPr>
        <w:t xml:space="preserve">, A., and </w:t>
      </w:r>
      <w:proofErr w:type="spellStart"/>
      <w:r>
        <w:rPr>
          <w:rFonts w:ascii="BookmanOldStyle" w:hAnsi="BookmanOldStyle" w:cs="BookmanOldStyle"/>
          <w:color w:val="000000"/>
        </w:rPr>
        <w:t>Strebel</w:t>
      </w:r>
      <w:proofErr w:type="spellEnd"/>
      <w:r>
        <w:rPr>
          <w:rFonts w:ascii="BookmanOldStyle" w:hAnsi="BookmanOldStyle" w:cs="BookmanOldStyle"/>
          <w:color w:val="000000"/>
        </w:rPr>
        <w:t>, P. 1982. The Neglected and Small Firm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 xml:space="preserve">Effects. </w:t>
      </w:r>
      <w:r>
        <w:rPr>
          <w:rFonts w:ascii="BookmanOldStyle-Italic" w:hAnsi="BookmanOldStyle-Italic" w:cs="BookmanOldStyle-Italic"/>
          <w:i/>
          <w:iCs/>
          <w:color w:val="000000"/>
        </w:rPr>
        <w:t xml:space="preserve">The Financial Review: </w:t>
      </w:r>
      <w:r>
        <w:rPr>
          <w:rFonts w:ascii="BookmanOldStyle" w:hAnsi="BookmanOldStyle" w:cs="BookmanOldStyle"/>
          <w:color w:val="000000"/>
        </w:rPr>
        <w:t>201–18.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spellStart"/>
      <w:r>
        <w:rPr>
          <w:rFonts w:ascii="BookmanOldStyle" w:hAnsi="BookmanOldStyle" w:cs="BookmanOldStyle"/>
          <w:color w:val="000000"/>
        </w:rPr>
        <w:t>Arbel</w:t>
      </w:r>
      <w:proofErr w:type="spellEnd"/>
      <w:r>
        <w:rPr>
          <w:rFonts w:ascii="BookmanOldStyle" w:hAnsi="BookmanOldStyle" w:cs="BookmanOldStyle"/>
          <w:color w:val="000000"/>
        </w:rPr>
        <w:t xml:space="preserve">, A., and </w:t>
      </w:r>
      <w:proofErr w:type="spellStart"/>
      <w:r>
        <w:rPr>
          <w:rFonts w:ascii="BookmanOldStyle" w:hAnsi="BookmanOldStyle" w:cs="BookmanOldStyle"/>
          <w:color w:val="000000"/>
        </w:rPr>
        <w:t>Strebel</w:t>
      </w:r>
      <w:proofErr w:type="spellEnd"/>
      <w:r>
        <w:rPr>
          <w:rFonts w:ascii="BookmanOldStyle" w:hAnsi="BookmanOldStyle" w:cs="BookmanOldStyle"/>
          <w:color w:val="000000"/>
        </w:rPr>
        <w:t>, P. 1983. Pay attention to neglected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firms</w:t>
      </w:r>
      <w:proofErr w:type="gramEnd"/>
      <w:r>
        <w:rPr>
          <w:rFonts w:ascii="BookmanOldStyle" w:hAnsi="BookmanOldStyle" w:cs="BookmanOldStyle"/>
          <w:color w:val="000000"/>
        </w:rPr>
        <w:t xml:space="preserve">! </w:t>
      </w:r>
      <w:r>
        <w:rPr>
          <w:rFonts w:ascii="BookmanOldStyle-Italic" w:hAnsi="BookmanOldStyle-Italic" w:cs="BookmanOldStyle-Italic"/>
          <w:i/>
          <w:iCs/>
          <w:color w:val="000000"/>
        </w:rPr>
        <w:t xml:space="preserve">The Journal of Portfolio Management </w:t>
      </w:r>
      <w:r>
        <w:rPr>
          <w:rFonts w:ascii="BookmanOldStyle" w:hAnsi="BookmanOldStyle" w:cs="BookmanOldStyle"/>
          <w:color w:val="000000"/>
        </w:rPr>
        <w:t>9: 37–42.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-Italic" w:hAnsi="BookmanOldStyle-Italic" w:cs="BookmanOldStyle-Italic"/>
          <w:i/>
          <w:iCs/>
          <w:color w:val="000000"/>
        </w:rPr>
        <w:t xml:space="preserve">Business Wire. </w:t>
      </w:r>
      <w:r>
        <w:rPr>
          <w:rFonts w:ascii="BookmanOldStyle" w:hAnsi="BookmanOldStyle" w:cs="BookmanOldStyle"/>
          <w:color w:val="000000"/>
        </w:rPr>
        <w:t>2003. Purchase Point Media Corp.: Corporate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Update (August 20).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-Italic" w:hAnsi="BookmanOldStyle-Italic" w:cs="BookmanOldStyle-Italic"/>
          <w:i/>
          <w:iCs/>
          <w:color w:val="000000"/>
        </w:rPr>
      </w:pPr>
      <w:proofErr w:type="spellStart"/>
      <w:r>
        <w:rPr>
          <w:rFonts w:ascii="BookmanOldStyle" w:hAnsi="BookmanOldStyle" w:cs="BookmanOldStyle"/>
          <w:color w:val="000000"/>
        </w:rPr>
        <w:t>Cataldo</w:t>
      </w:r>
      <w:proofErr w:type="spellEnd"/>
      <w:r>
        <w:rPr>
          <w:rFonts w:ascii="BookmanOldStyle" w:hAnsi="BookmanOldStyle" w:cs="BookmanOldStyle"/>
          <w:color w:val="000000"/>
        </w:rPr>
        <w:t xml:space="preserve">, A. </w:t>
      </w:r>
      <w:r>
        <w:rPr>
          <w:rFonts w:ascii="BookmanOldStyle-Italic" w:hAnsi="BookmanOldStyle-Italic" w:cs="BookmanOldStyle-Italic"/>
          <w:i/>
          <w:iCs/>
          <w:color w:val="000000"/>
        </w:rPr>
        <w:t>Information Asymmetry: A Unifying Concept for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-Italic" w:hAnsi="BookmanOldStyle-Italic" w:cs="BookmanOldStyle-Italic"/>
          <w:i/>
          <w:iCs/>
          <w:color w:val="000000"/>
        </w:rPr>
      </w:pPr>
      <w:r>
        <w:rPr>
          <w:rFonts w:ascii="BookmanOldStyle-Italic" w:hAnsi="BookmanOldStyle-Italic" w:cs="BookmanOldStyle-Italic"/>
          <w:i/>
          <w:iCs/>
          <w:color w:val="000000"/>
        </w:rPr>
        <w:t>Financial and Managerial Accounting Theories (including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-Italic" w:hAnsi="BookmanOldStyle-Italic" w:cs="BookmanOldStyle-Italic"/>
          <w:i/>
          <w:iCs/>
          <w:color w:val="000000"/>
        </w:rPr>
        <w:t>illustrative</w:t>
      </w:r>
      <w:proofErr w:type="gramEnd"/>
      <w:r>
        <w:rPr>
          <w:rFonts w:ascii="BookmanOldStyle-Italic" w:hAnsi="BookmanOldStyle-Italic" w:cs="BookmanOldStyle-Italic"/>
          <w:i/>
          <w:iCs/>
          <w:color w:val="000000"/>
        </w:rPr>
        <w:t xml:space="preserve"> case studies). </w:t>
      </w:r>
      <w:r>
        <w:rPr>
          <w:rFonts w:ascii="BookmanOldStyle" w:hAnsi="BookmanOldStyle" w:cs="BookmanOldStyle"/>
          <w:color w:val="000000"/>
        </w:rPr>
        <w:t>Studies in Managerial and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Financial Accounting 13, 2003. Oxford, England:</w:t>
      </w:r>
    </w:p>
    <w:p w:rsidR="00675BB0" w:rsidRDefault="00675BB0" w:rsidP="00675BB0">
      <w:pPr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Elsevier Science (JAI). Series Editor: Marc Epstein.</w:t>
      </w:r>
    </w:p>
    <w:p w:rsidR="00675BB0" w:rsidRDefault="00675BB0" w:rsidP="00675BB0">
      <w:pPr>
        <w:rPr>
          <w:rFonts w:ascii="BookmanOldStyle" w:hAnsi="BookmanOldStyle" w:cs="BookmanOldStyle"/>
          <w:color w:val="000000"/>
        </w:rPr>
      </w:pPr>
    </w:p>
    <w:p w:rsidR="00675BB0" w:rsidRDefault="00675BB0" w:rsidP="00675BB0">
      <w:pPr>
        <w:rPr>
          <w:rFonts w:ascii="BookmanOldStyle" w:hAnsi="BookmanOldStyle" w:cs="BookmanOldStyle"/>
          <w:color w:val="000000"/>
        </w:rPr>
      </w:pP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FranklinGothic-Heavy" w:hAnsi="FranklinGothic-Heavy" w:cs="FranklinGothic-Heavy"/>
          <w:color w:val="0077BE"/>
          <w:sz w:val="44"/>
          <w:szCs w:val="44"/>
        </w:rPr>
      </w:pPr>
      <w:r>
        <w:rPr>
          <w:rFonts w:ascii="FranklinGothic-Heavy" w:hAnsi="FranklinGothic-Heavy" w:cs="FranklinGothic-Heavy"/>
          <w:color w:val="0077BE"/>
          <w:sz w:val="44"/>
          <w:szCs w:val="44"/>
        </w:rPr>
        <w:t>PROJECT REQUIREMENTS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FranklinGothic-Heavy" w:hAnsi="FranklinGothic-Heavy" w:cs="FranklinGothic-Heavy"/>
          <w:color w:val="0077BE"/>
          <w:sz w:val="36"/>
          <w:szCs w:val="36"/>
        </w:rPr>
      </w:pPr>
      <w:r>
        <w:rPr>
          <w:rFonts w:ascii="FranklinGothic-Heavy" w:hAnsi="FranklinGothic-Heavy" w:cs="FranklinGothic-Heavy"/>
          <w:color w:val="0077BE"/>
          <w:sz w:val="36"/>
          <w:szCs w:val="36"/>
        </w:rPr>
        <w:t>Substance versus Form and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FranklinGothic-Heavy" w:hAnsi="FranklinGothic-Heavy" w:cs="FranklinGothic-Heavy"/>
          <w:color w:val="0077BE"/>
          <w:sz w:val="36"/>
          <w:szCs w:val="36"/>
        </w:rPr>
      </w:pPr>
      <w:r>
        <w:rPr>
          <w:rFonts w:ascii="FranklinGothic-Heavy" w:hAnsi="FranklinGothic-Heavy" w:cs="FranklinGothic-Heavy"/>
          <w:color w:val="0077BE"/>
          <w:sz w:val="36"/>
          <w:szCs w:val="36"/>
        </w:rPr>
        <w:t>Critical Thinking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FranklinGothic-Heavy" w:hAnsi="FranklinGothic-Heavy" w:cs="FranklinGothic-Heavy"/>
          <w:color w:val="0077BE"/>
          <w:sz w:val="28"/>
          <w:szCs w:val="28"/>
        </w:rPr>
      </w:pPr>
      <w:r>
        <w:rPr>
          <w:rFonts w:ascii="FranklinGothic-Heavy" w:hAnsi="FranklinGothic-Heavy" w:cs="FranklinGothic-Heavy"/>
          <w:color w:val="0077BE"/>
          <w:sz w:val="28"/>
          <w:szCs w:val="28"/>
        </w:rPr>
        <w:t>Step 1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In the infamous Enron bankruptcy case, the form of the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financial</w:t>
      </w:r>
      <w:proofErr w:type="gramEnd"/>
      <w:r>
        <w:rPr>
          <w:rFonts w:ascii="BookmanOldStyle" w:hAnsi="BookmanOldStyle" w:cs="BookmanOldStyle"/>
          <w:color w:val="000000"/>
        </w:rPr>
        <w:t xml:space="preserve"> statements prepared by the Enron Corporation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and</w:t>
      </w:r>
      <w:proofErr w:type="gramEnd"/>
      <w:r>
        <w:rPr>
          <w:rFonts w:ascii="BookmanOldStyle" w:hAnsi="BookmanOldStyle" w:cs="BookmanOldStyle"/>
          <w:color w:val="000000"/>
        </w:rPr>
        <w:t xml:space="preserve"> WorldCom was very professional; however, the substance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was</w:t>
      </w:r>
      <w:proofErr w:type="gramEnd"/>
      <w:r>
        <w:rPr>
          <w:rFonts w:ascii="BookmanOldStyle" w:hAnsi="BookmanOldStyle" w:cs="BookmanOldStyle"/>
          <w:color w:val="000000"/>
        </w:rPr>
        <w:t xml:space="preserve"> lacking, leading to audit and market failures and the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eventual</w:t>
      </w:r>
      <w:proofErr w:type="gramEnd"/>
      <w:r>
        <w:rPr>
          <w:rFonts w:ascii="BookmanOldStyle" w:hAnsi="BookmanOldStyle" w:cs="BookmanOldStyle"/>
          <w:color w:val="000000"/>
        </w:rPr>
        <w:t xml:space="preserve"> bankruptcy of both of these </w:t>
      </w:r>
      <w:r>
        <w:rPr>
          <w:rFonts w:ascii="BookmanOldStyle-Italic" w:hAnsi="BookmanOldStyle-Italic" w:cs="BookmanOldStyle-Italic"/>
          <w:i/>
          <w:iCs/>
          <w:color w:val="000000"/>
        </w:rPr>
        <w:t xml:space="preserve">big-cap, </w:t>
      </w:r>
      <w:r>
        <w:rPr>
          <w:rFonts w:ascii="BookmanOldStyle" w:hAnsi="BookmanOldStyle" w:cs="BookmanOldStyle"/>
          <w:color w:val="000000"/>
        </w:rPr>
        <w:t xml:space="preserve">or </w:t>
      </w:r>
      <w:proofErr w:type="spellStart"/>
      <w:r>
        <w:rPr>
          <w:rFonts w:ascii="BookmanOldStyle" w:hAnsi="BookmanOldStyle" w:cs="BookmanOldStyle"/>
          <w:color w:val="000000"/>
        </w:rPr>
        <w:t>largecapitalization</w:t>
      </w:r>
      <w:proofErr w:type="spellEnd"/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firms</w:t>
      </w:r>
      <w:proofErr w:type="gramEnd"/>
      <w:r>
        <w:rPr>
          <w:rFonts w:ascii="BookmanOldStyle" w:hAnsi="BookmanOldStyle" w:cs="BookmanOldStyle"/>
          <w:color w:val="000000"/>
        </w:rPr>
        <w:t>. PPMC represents a reverse case, in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which</w:t>
      </w:r>
      <w:proofErr w:type="gramEnd"/>
      <w:r>
        <w:rPr>
          <w:rFonts w:ascii="BookmanOldStyle" w:hAnsi="BookmanOldStyle" w:cs="BookmanOldStyle"/>
          <w:color w:val="000000"/>
        </w:rPr>
        <w:t xml:space="preserve"> the form of the data contained in the PPMC news</w:t>
      </w:r>
    </w:p>
    <w:p w:rsidR="00675BB0" w:rsidRDefault="00675BB0" w:rsidP="00675BB0">
      <w:pPr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release</w:t>
      </w:r>
      <w:proofErr w:type="gramEnd"/>
      <w:r>
        <w:rPr>
          <w:rFonts w:ascii="BookmanOldStyle" w:hAnsi="BookmanOldStyle" w:cs="BookmanOldStyle"/>
          <w:color w:val="000000"/>
        </w:rPr>
        <w:t xml:space="preserve"> and corporate Web site was very poor.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r>
        <w:rPr>
          <w:rFonts w:ascii="BookmanOldStyle" w:hAnsi="BookmanOldStyle" w:cs="BookmanOldStyle"/>
        </w:rPr>
        <w:t>To begin, read the PPMC report, focusing on problems with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the</w:t>
      </w:r>
      <w:proofErr w:type="gramEnd"/>
      <w:r>
        <w:rPr>
          <w:rFonts w:ascii="BookmanOldStyle" w:hAnsi="BookmanOldStyle" w:cs="BookmanOldStyle"/>
        </w:rPr>
        <w:t xml:space="preserve"> form of the report. There are many, including font changes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that</w:t>
      </w:r>
      <w:proofErr w:type="gramEnd"/>
      <w:r>
        <w:rPr>
          <w:rFonts w:ascii="BookmanOldStyle" w:hAnsi="BookmanOldStyle" w:cs="BookmanOldStyle"/>
        </w:rPr>
        <w:t xml:space="preserve"> have been corrected for printing here. Prepare a typed,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clearly</w:t>
      </w:r>
      <w:proofErr w:type="gramEnd"/>
      <w:r>
        <w:rPr>
          <w:rFonts w:ascii="BookmanOldStyle" w:hAnsi="BookmanOldStyle" w:cs="BookmanOldStyle"/>
        </w:rPr>
        <w:t xml:space="preserve"> communicated summary of all errors or weaknesses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you</w:t>
      </w:r>
      <w:proofErr w:type="gramEnd"/>
      <w:r>
        <w:rPr>
          <w:rFonts w:ascii="BookmanOldStyle" w:hAnsi="BookmanOldStyle" w:cs="BookmanOldStyle"/>
        </w:rPr>
        <w:t xml:space="preserve"> find in the form of this report. There’s no magic number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of</w:t>
      </w:r>
      <w:proofErr w:type="gramEnd"/>
      <w:r>
        <w:rPr>
          <w:rFonts w:ascii="BookmanOldStyle" w:hAnsi="BookmanOldStyle" w:cs="BookmanOldStyle"/>
        </w:rPr>
        <w:t xml:space="preserve"> errors that you must identify and different students will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produce</w:t>
      </w:r>
      <w:proofErr w:type="gramEnd"/>
      <w:r>
        <w:rPr>
          <w:rFonts w:ascii="BookmanOldStyle" w:hAnsi="BookmanOldStyle" w:cs="BookmanOldStyle"/>
        </w:rPr>
        <w:t xml:space="preserve"> variations in their responses to this part of the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assignment</w:t>
      </w:r>
      <w:proofErr w:type="gramEnd"/>
      <w:r>
        <w:rPr>
          <w:rFonts w:ascii="BookmanOldStyle" w:hAnsi="BookmanOldStyle" w:cs="BookmanOldStyle"/>
        </w:rPr>
        <w:t>. Simply identify as many problems as you find,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including</w:t>
      </w:r>
      <w:proofErr w:type="gramEnd"/>
      <w:r>
        <w:rPr>
          <w:rFonts w:ascii="BookmanOldStyle" w:hAnsi="BookmanOldStyle" w:cs="BookmanOldStyle"/>
        </w:rPr>
        <w:t xml:space="preserve"> spelling, punctuation, and usage errors. Although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the</w:t>
      </w:r>
      <w:proofErr w:type="gramEnd"/>
      <w:r>
        <w:rPr>
          <w:rFonts w:ascii="BookmanOldStyle" w:hAnsi="BookmanOldStyle" w:cs="BookmanOldStyle"/>
        </w:rPr>
        <w:t xml:space="preserve"> PPMC report isn’t well-written, don’t attempt to correct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or</w:t>
      </w:r>
      <w:proofErr w:type="gramEnd"/>
      <w:r>
        <w:rPr>
          <w:rFonts w:ascii="BookmanOldStyle" w:hAnsi="BookmanOldStyle" w:cs="BookmanOldStyle"/>
        </w:rPr>
        <w:t xml:space="preserve"> rewrite the report.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r>
        <w:rPr>
          <w:rFonts w:ascii="BookmanOldStyle" w:hAnsi="BookmanOldStyle" w:cs="BookmanOldStyle"/>
        </w:rPr>
        <w:t>Here are a few examples of the kinds of errors you may find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and</w:t>
      </w:r>
      <w:proofErr w:type="gramEnd"/>
      <w:r>
        <w:rPr>
          <w:rFonts w:ascii="BookmanOldStyle" w:hAnsi="BookmanOldStyle" w:cs="BookmanOldStyle"/>
        </w:rPr>
        <w:t xml:space="preserve"> how you’ll present them.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-Bold" w:hAnsi="BookmanOldStyle-Bold" w:cs="BookmanOldStyle-Bold"/>
          <w:b/>
          <w:bCs/>
        </w:rPr>
      </w:pPr>
      <w:r>
        <w:rPr>
          <w:rFonts w:ascii="BookmanOldStyle-Bold" w:hAnsi="BookmanOldStyle-Bold" w:cs="BookmanOldStyle-Bold"/>
          <w:b/>
          <w:bCs/>
        </w:rPr>
        <w:t>Summary of Errors in the Form of the PPMC Report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r>
        <w:rPr>
          <w:rFonts w:ascii="BookmanOldStyle" w:hAnsi="BookmanOldStyle" w:cs="BookmanOldStyle"/>
        </w:rPr>
        <w:t>1. There are two sentence fragments, plus a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lastRenderedPageBreak/>
        <w:t>spelling</w:t>
      </w:r>
      <w:proofErr w:type="gramEnd"/>
      <w:r>
        <w:rPr>
          <w:rFonts w:ascii="BookmanOldStyle" w:hAnsi="BookmanOldStyle" w:cs="BookmanOldStyle"/>
        </w:rPr>
        <w:t xml:space="preserve"> error, in the introductory paragraph,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as</w:t>
      </w:r>
      <w:proofErr w:type="gramEnd"/>
      <w:r>
        <w:rPr>
          <w:rFonts w:ascii="BookmanOldStyle" w:hAnsi="BookmanOldStyle" w:cs="BookmanOldStyle"/>
        </w:rPr>
        <w:t xml:space="preserve"> follows: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r>
        <w:rPr>
          <w:rFonts w:ascii="BookmanOldStyle" w:hAnsi="BookmanOldStyle" w:cs="BookmanOldStyle"/>
        </w:rPr>
        <w:t>Safe harbor statement under the private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securities</w:t>
      </w:r>
      <w:proofErr w:type="gramEnd"/>
      <w:r>
        <w:rPr>
          <w:rFonts w:ascii="BookmanOldStyle" w:hAnsi="BookmanOldStyle" w:cs="BookmanOldStyle"/>
        </w:rPr>
        <w:t xml:space="preserve"> litigation act of 1995.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r>
        <w:rPr>
          <w:rFonts w:ascii="BookmanOldStyle" w:hAnsi="BookmanOldStyle" w:cs="BookmanOldStyle"/>
        </w:rPr>
        <w:t>Changes in assumptions or changes in other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factors</w:t>
      </w:r>
      <w:proofErr w:type="gramEnd"/>
      <w:r>
        <w:rPr>
          <w:rFonts w:ascii="BookmanOldStyle" w:hAnsi="BookmanOldStyle" w:cs="BookmanOldStyle"/>
        </w:rPr>
        <w:t xml:space="preserve"> effecting such statements.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r>
        <w:rPr>
          <w:rFonts w:ascii="BookmanOldStyle" w:hAnsi="BookmanOldStyle" w:cs="BookmanOldStyle"/>
        </w:rPr>
        <w:t>2. The second sentence in the introductory paragraph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refers</w:t>
      </w:r>
      <w:proofErr w:type="gramEnd"/>
      <w:r>
        <w:rPr>
          <w:rFonts w:ascii="BookmanOldStyle" w:hAnsi="BookmanOldStyle" w:cs="BookmanOldStyle"/>
        </w:rPr>
        <w:t xml:space="preserve"> to a “project” statement of net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income</w:t>
      </w:r>
      <w:proofErr w:type="gramEnd"/>
      <w:r>
        <w:rPr>
          <w:rFonts w:ascii="BookmanOldStyle" w:hAnsi="BookmanOldStyle" w:cs="BookmanOldStyle"/>
        </w:rPr>
        <w:t xml:space="preserve"> (“This project statement of net income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contains</w:t>
      </w:r>
      <w:proofErr w:type="gramEnd"/>
      <w:r>
        <w:rPr>
          <w:rFonts w:ascii="BookmanOldStyle" w:hAnsi="BookmanOldStyle" w:cs="BookmanOldStyle"/>
        </w:rPr>
        <w:t xml:space="preserve"> . . .”). It appears that the author of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this</w:t>
      </w:r>
      <w:proofErr w:type="gramEnd"/>
      <w:r>
        <w:rPr>
          <w:rFonts w:ascii="BookmanOldStyle" w:hAnsi="BookmanOldStyle" w:cs="BookmanOldStyle"/>
        </w:rPr>
        <w:t xml:space="preserve"> report intended to refer to a “projected”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statement</w:t>
      </w:r>
      <w:proofErr w:type="gramEnd"/>
      <w:r>
        <w:rPr>
          <w:rFonts w:ascii="BookmanOldStyle" w:hAnsi="BookmanOldStyle" w:cs="BookmanOldStyle"/>
        </w:rPr>
        <w:t xml:space="preserve"> of net income, although that’s not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a</w:t>
      </w:r>
      <w:proofErr w:type="gramEnd"/>
      <w:r>
        <w:rPr>
          <w:rFonts w:ascii="BookmanOldStyle" w:hAnsi="BookmanOldStyle" w:cs="BookmanOldStyle"/>
        </w:rPr>
        <w:t xml:space="preserve"> conventional accounting term.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r>
        <w:rPr>
          <w:rFonts w:ascii="BookmanOldStyle" w:hAnsi="BookmanOldStyle" w:cs="BookmanOldStyle"/>
        </w:rPr>
        <w:t>3. The third sentence in the introductory paragraph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refers</w:t>
      </w:r>
      <w:proofErr w:type="gramEnd"/>
      <w:r>
        <w:rPr>
          <w:rFonts w:ascii="BookmanOldStyle" w:hAnsi="BookmanOldStyle" w:cs="BookmanOldStyle"/>
        </w:rPr>
        <w:t xml:space="preserve"> to “Corporate house,” in which the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first</w:t>
      </w:r>
      <w:proofErr w:type="gramEnd"/>
      <w:r>
        <w:rPr>
          <w:rFonts w:ascii="BookmanOldStyle" w:hAnsi="BookmanOldStyle" w:cs="BookmanOldStyle"/>
        </w:rPr>
        <w:t xml:space="preserve"> word of what appears to be a firm’s name is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capitalized</w:t>
      </w:r>
      <w:proofErr w:type="gramEnd"/>
      <w:r>
        <w:rPr>
          <w:rFonts w:ascii="BookmanOldStyle" w:hAnsi="BookmanOldStyle" w:cs="BookmanOldStyle"/>
        </w:rPr>
        <w:t xml:space="preserve"> and the second isn’t.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r>
        <w:rPr>
          <w:rFonts w:ascii="BookmanOldStyle" w:hAnsi="BookmanOldStyle" w:cs="BookmanOldStyle"/>
        </w:rPr>
        <w:t>4. The last sentence in the introductory paragraph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uses</w:t>
      </w:r>
      <w:proofErr w:type="gramEnd"/>
      <w:r>
        <w:rPr>
          <w:rFonts w:ascii="BookmanOldStyle" w:hAnsi="BookmanOldStyle" w:cs="BookmanOldStyle"/>
        </w:rPr>
        <w:t xml:space="preserve"> “risk” in the singular form when it requires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the</w:t>
      </w:r>
      <w:proofErr w:type="gramEnd"/>
      <w:r>
        <w:rPr>
          <w:rFonts w:ascii="BookmanOldStyle" w:hAnsi="BookmanOldStyle" w:cs="BookmanOldStyle"/>
        </w:rPr>
        <w:t xml:space="preserve"> plural: “You should independently investigate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and</w:t>
      </w:r>
      <w:proofErr w:type="gramEnd"/>
      <w:r>
        <w:rPr>
          <w:rFonts w:ascii="BookmanOldStyle" w:hAnsi="BookmanOldStyle" w:cs="BookmanOldStyle"/>
        </w:rPr>
        <w:t xml:space="preserve"> fully understand all risk before making</w:t>
      </w:r>
    </w:p>
    <w:p w:rsidR="00675BB0" w:rsidRDefault="00675BB0" w:rsidP="00675BB0">
      <w:pPr>
        <w:rPr>
          <w:rFonts w:ascii="BookmanOldStyle" w:hAnsi="BookmanOldStyle" w:cs="BookmanOldStyle"/>
        </w:rPr>
      </w:pPr>
      <w:proofErr w:type="gramStart"/>
      <w:r>
        <w:rPr>
          <w:rFonts w:ascii="BookmanOldStyle" w:hAnsi="BookmanOldStyle" w:cs="BookmanOldStyle"/>
        </w:rPr>
        <w:t>investment</w:t>
      </w:r>
      <w:proofErr w:type="gramEnd"/>
      <w:r>
        <w:rPr>
          <w:rFonts w:ascii="BookmanOldStyle" w:hAnsi="BookmanOldStyle" w:cs="BookmanOldStyle"/>
        </w:rPr>
        <w:t xml:space="preserve"> decisions.”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Next, reread the PPMC report, focusing on problems with the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-Italic" w:hAnsi="BookmanOldStyle-Italic" w:cs="BookmanOldStyle-Italic"/>
          <w:i/>
          <w:iCs/>
          <w:color w:val="000000"/>
        </w:rPr>
        <w:t>substance</w:t>
      </w:r>
      <w:proofErr w:type="gramEnd"/>
      <w:r>
        <w:rPr>
          <w:rFonts w:ascii="BookmanOldStyle-Italic" w:hAnsi="BookmanOldStyle-Italic" w:cs="BookmanOldStyle-Italic"/>
          <w:i/>
          <w:iCs/>
          <w:color w:val="000000"/>
        </w:rPr>
        <w:t xml:space="preserve"> </w:t>
      </w:r>
      <w:r>
        <w:rPr>
          <w:rFonts w:ascii="BookmanOldStyle" w:hAnsi="BookmanOldStyle" w:cs="BookmanOldStyle"/>
          <w:color w:val="000000"/>
        </w:rPr>
        <w:t>of the report. Identify the obvious errors or problems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first</w:t>
      </w:r>
      <w:proofErr w:type="gramEnd"/>
      <w:r>
        <w:rPr>
          <w:rFonts w:ascii="BookmanOldStyle" w:hAnsi="BookmanOldStyle" w:cs="BookmanOldStyle"/>
          <w:color w:val="000000"/>
        </w:rPr>
        <w:t xml:space="preserve"> by focusing on the addition or math errors. Prepare a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typed</w:t>
      </w:r>
      <w:proofErr w:type="gramEnd"/>
      <w:r>
        <w:rPr>
          <w:rFonts w:ascii="BookmanOldStyle" w:hAnsi="BookmanOldStyle" w:cs="BookmanOldStyle"/>
          <w:color w:val="000000"/>
        </w:rPr>
        <w:t>, clearly communicated summary of all errors or weaknesses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you</w:t>
      </w:r>
      <w:proofErr w:type="gramEnd"/>
      <w:r>
        <w:rPr>
          <w:rFonts w:ascii="BookmanOldStyle" w:hAnsi="BookmanOldStyle" w:cs="BookmanOldStyle"/>
          <w:color w:val="000000"/>
        </w:rPr>
        <w:t xml:space="preserve"> find in the substance of this PPMC report.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A few examples follow: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-Bold" w:hAnsi="BookmanOldStyle-Bold" w:cs="BookmanOldStyle-Bold"/>
          <w:b/>
          <w:bCs/>
          <w:color w:val="000000"/>
        </w:rPr>
      </w:pPr>
      <w:r>
        <w:rPr>
          <w:rFonts w:ascii="BookmanOldStyle-Bold" w:hAnsi="BookmanOldStyle-Bold" w:cs="BookmanOldStyle-Bold"/>
          <w:b/>
          <w:bCs/>
          <w:color w:val="000000"/>
        </w:rPr>
        <w:t>Summary of Errors in the Substance of the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-Bold" w:hAnsi="BookmanOldStyle-Bold" w:cs="BookmanOldStyle-Bold"/>
          <w:b/>
          <w:bCs/>
          <w:color w:val="000000"/>
        </w:rPr>
      </w:pPr>
      <w:r>
        <w:rPr>
          <w:rFonts w:ascii="BookmanOldStyle-Bold" w:hAnsi="BookmanOldStyle-Bold" w:cs="BookmanOldStyle-Bold"/>
          <w:b/>
          <w:bCs/>
          <w:color w:val="000000"/>
        </w:rPr>
        <w:t>PPMC Report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1. The report refers to a “Projected Statement of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Net Income” having been prepared in “accordance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with</w:t>
      </w:r>
      <w:proofErr w:type="gramEnd"/>
      <w:r>
        <w:rPr>
          <w:rFonts w:ascii="BookmanOldStyle" w:hAnsi="BookmanOldStyle" w:cs="BookmanOldStyle"/>
          <w:color w:val="000000"/>
        </w:rPr>
        <w:t xml:space="preserve"> generally accepted accounting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principles</w:t>
      </w:r>
      <w:proofErr w:type="gramEnd"/>
      <w:r>
        <w:rPr>
          <w:rFonts w:ascii="BookmanOldStyle" w:hAnsi="BookmanOldStyle" w:cs="BookmanOldStyle"/>
          <w:color w:val="000000"/>
        </w:rPr>
        <w:t>.” I have never heard of this financial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statement</w:t>
      </w:r>
      <w:proofErr w:type="gramEnd"/>
      <w:r>
        <w:rPr>
          <w:rFonts w:ascii="BookmanOldStyle" w:hAnsi="BookmanOldStyle" w:cs="BookmanOldStyle"/>
          <w:color w:val="000000"/>
        </w:rPr>
        <w:t xml:space="preserve"> or any such GAAP requirement.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2. Note 6 of the report contains an apparent math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error</w:t>
      </w:r>
      <w:proofErr w:type="gramEnd"/>
      <w:r>
        <w:rPr>
          <w:rFonts w:ascii="BookmanOldStyle" w:hAnsi="BookmanOldStyle" w:cs="BookmanOldStyle"/>
          <w:color w:val="000000"/>
        </w:rPr>
        <w:t xml:space="preserve"> in the table. Specifically, there appears to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be</w:t>
      </w:r>
      <w:proofErr w:type="gramEnd"/>
      <w:r>
        <w:rPr>
          <w:rFonts w:ascii="BookmanOldStyle" w:hAnsi="BookmanOldStyle" w:cs="BookmanOldStyle"/>
          <w:color w:val="000000"/>
        </w:rPr>
        <w:t xml:space="preserve"> a transposition error for the 3rd quarter in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the</w:t>
      </w:r>
      <w:proofErr w:type="gramEnd"/>
      <w:r>
        <w:rPr>
          <w:rFonts w:ascii="BookmanOldStyle" w:hAnsi="BookmanOldStyle" w:cs="BookmanOldStyle"/>
          <w:color w:val="000000"/>
        </w:rPr>
        <w:t xml:space="preserve"> “15% commissions” column. The $5,382,000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amount</w:t>
      </w:r>
      <w:proofErr w:type="gramEnd"/>
      <w:r>
        <w:rPr>
          <w:rFonts w:ascii="BookmanOldStyle" w:hAnsi="BookmanOldStyle" w:cs="BookmanOldStyle"/>
          <w:color w:val="000000"/>
        </w:rPr>
        <w:t xml:space="preserve"> should be $5,832,000.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Sometimes an issue may appear to represent both form and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substance</w:t>
      </w:r>
      <w:proofErr w:type="gramEnd"/>
      <w:r>
        <w:rPr>
          <w:rFonts w:ascii="BookmanOldStyle" w:hAnsi="BookmanOldStyle" w:cs="BookmanOldStyle"/>
          <w:color w:val="000000"/>
        </w:rPr>
        <w:t xml:space="preserve"> problems. In these cases, identify the problems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with</w:t>
      </w:r>
      <w:proofErr w:type="gramEnd"/>
      <w:r>
        <w:rPr>
          <w:rFonts w:ascii="BookmanOldStyle" w:hAnsi="BookmanOldStyle" w:cs="BookmanOldStyle"/>
          <w:color w:val="000000"/>
        </w:rPr>
        <w:t xml:space="preserve"> the form of the PPMC report first. After completing this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requirement</w:t>
      </w:r>
      <w:proofErr w:type="gramEnd"/>
      <w:r>
        <w:rPr>
          <w:rFonts w:ascii="BookmanOldStyle" w:hAnsi="BookmanOldStyle" w:cs="BookmanOldStyle"/>
          <w:color w:val="000000"/>
        </w:rPr>
        <w:t>, build on these results by identifying substance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problems</w:t>
      </w:r>
      <w:proofErr w:type="gramEnd"/>
      <w:r>
        <w:rPr>
          <w:rFonts w:ascii="BookmanOldStyle" w:hAnsi="BookmanOldStyle" w:cs="BookmanOldStyle"/>
          <w:color w:val="000000"/>
        </w:rPr>
        <w:t xml:space="preserve"> with the PPMC report. This methodological approach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will</w:t>
      </w:r>
      <w:proofErr w:type="gramEnd"/>
      <w:r>
        <w:rPr>
          <w:rFonts w:ascii="BookmanOldStyle" w:hAnsi="BookmanOldStyle" w:cs="BookmanOldStyle"/>
          <w:color w:val="000000"/>
        </w:rPr>
        <w:t xml:space="preserve"> save you time and make it easier for you to organize your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thoughts</w:t>
      </w:r>
      <w:proofErr w:type="gramEnd"/>
      <w:r>
        <w:rPr>
          <w:rFonts w:ascii="BookmanOldStyle" w:hAnsi="BookmanOldStyle" w:cs="BookmanOldStyle"/>
          <w:color w:val="000000"/>
        </w:rPr>
        <w:t xml:space="preserve"> as you progress through these requirements.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FranklinGothic-Heavy" w:hAnsi="FranklinGothic-Heavy" w:cs="FranklinGothic-Heavy"/>
          <w:color w:val="0077BE"/>
          <w:sz w:val="28"/>
          <w:szCs w:val="28"/>
        </w:rPr>
      </w:pPr>
      <w:r>
        <w:rPr>
          <w:rFonts w:ascii="FranklinGothic-Heavy" w:hAnsi="FranklinGothic-Heavy" w:cs="FranklinGothic-Heavy"/>
          <w:color w:val="0077BE"/>
          <w:sz w:val="28"/>
          <w:szCs w:val="28"/>
        </w:rPr>
        <w:t>Step 2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Below is a recommend framework for the analysis and computation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of</w:t>
      </w:r>
      <w:proofErr w:type="gramEnd"/>
      <w:r>
        <w:rPr>
          <w:rFonts w:ascii="BookmanOldStyle" w:hAnsi="BookmanOldStyle" w:cs="BookmanOldStyle"/>
          <w:color w:val="000000"/>
        </w:rPr>
        <w:t xml:space="preserve"> the PPMC break-even point in terms of carts and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lastRenderedPageBreak/>
        <w:t>stores</w:t>
      </w:r>
      <w:proofErr w:type="gramEnd"/>
      <w:r>
        <w:rPr>
          <w:rFonts w:ascii="BookmanOldStyle" w:hAnsi="BookmanOldStyle" w:cs="BookmanOldStyle"/>
          <w:color w:val="000000"/>
        </w:rPr>
        <w:t xml:space="preserve"> (Table 1). The PPMC Note column refers to the notes in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the</w:t>
      </w:r>
      <w:proofErr w:type="gramEnd"/>
      <w:r>
        <w:rPr>
          <w:rFonts w:ascii="BookmanOldStyle" w:hAnsi="BookmanOldStyle" w:cs="BookmanOldStyle"/>
          <w:color w:val="000000"/>
        </w:rPr>
        <w:t xml:space="preserve"> PPMC source document. In fact, the PPMC notes appear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to</w:t>
      </w:r>
      <w:proofErr w:type="gramEnd"/>
      <w:r>
        <w:rPr>
          <w:rFonts w:ascii="BookmanOldStyle" w:hAnsi="BookmanOldStyle" w:cs="BookmanOldStyle"/>
          <w:color w:val="000000"/>
        </w:rPr>
        <w:t xml:space="preserve"> be organized by cost behavior. This is similar to the approach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you</w:t>
      </w:r>
      <w:proofErr w:type="gramEnd"/>
      <w:r>
        <w:rPr>
          <w:rFonts w:ascii="BookmanOldStyle" w:hAnsi="BookmanOldStyle" w:cs="BookmanOldStyle"/>
          <w:color w:val="000000"/>
        </w:rPr>
        <w:t xml:space="preserve"> used in your Managerial Accounting course. You should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follow</w:t>
      </w:r>
      <w:proofErr w:type="gramEnd"/>
      <w:r>
        <w:rPr>
          <w:rFonts w:ascii="BookmanOldStyle" w:hAnsi="BookmanOldStyle" w:cs="BookmanOldStyle"/>
          <w:color w:val="000000"/>
        </w:rPr>
        <w:t xml:space="preserve"> this approach or framework as you compute the PPMC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break-even</w:t>
      </w:r>
      <w:proofErr w:type="gramEnd"/>
      <w:r>
        <w:rPr>
          <w:rFonts w:ascii="BookmanOldStyle" w:hAnsi="BookmanOldStyle" w:cs="BookmanOldStyle"/>
          <w:color w:val="000000"/>
        </w:rPr>
        <w:t xml:space="preserve"> point in terms of carts and stores. Begin with revenues,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follow</w:t>
      </w:r>
      <w:proofErr w:type="gramEnd"/>
      <w:r>
        <w:rPr>
          <w:rFonts w:ascii="BookmanOldStyle" w:hAnsi="BookmanOldStyle" w:cs="BookmanOldStyle"/>
          <w:color w:val="000000"/>
        </w:rPr>
        <w:t xml:space="preserve"> with variable costs (VCs), develop the contribution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margin</w:t>
      </w:r>
      <w:proofErr w:type="gramEnd"/>
      <w:r>
        <w:rPr>
          <w:rFonts w:ascii="BookmanOldStyle" w:hAnsi="BookmanOldStyle" w:cs="BookmanOldStyle"/>
          <w:color w:val="000000"/>
        </w:rPr>
        <w:t xml:space="preserve"> (CM; in aggregate), followed by fixed costs (FCs),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and</w:t>
      </w:r>
      <w:proofErr w:type="gramEnd"/>
      <w:r>
        <w:rPr>
          <w:rFonts w:ascii="BookmanOldStyle" w:hAnsi="BookmanOldStyle" w:cs="BookmanOldStyle"/>
          <w:color w:val="000000"/>
        </w:rPr>
        <w:t>, finally, compute PPMC’s net operating income (NOI)</w:t>
      </w:r>
    </w:p>
    <w:p w:rsidR="00675BB0" w:rsidRDefault="00675BB0" w:rsidP="00675BB0">
      <w:pPr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and</w:t>
      </w:r>
      <w:proofErr w:type="gramEnd"/>
      <w:r>
        <w:rPr>
          <w:rFonts w:ascii="BookmanOldStyle" w:hAnsi="BookmanOldStyle" w:cs="BookmanOldStyle"/>
          <w:color w:val="000000"/>
        </w:rPr>
        <w:t xml:space="preserve"> break-even point in terms of both carts and stores.</w:t>
      </w:r>
    </w:p>
    <w:p w:rsidR="00675BB0" w:rsidRDefault="00675BB0" w:rsidP="00675BB0">
      <w:pPr>
        <w:rPr>
          <w:rFonts w:ascii="BookmanOldStyle" w:hAnsi="BookmanOldStyle" w:cs="BookmanOldStyle"/>
          <w:color w:val="000000"/>
        </w:rPr>
      </w:pP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FFFFFF"/>
          <w:sz w:val="18"/>
          <w:szCs w:val="18"/>
        </w:rPr>
      </w:pPr>
      <w:r>
        <w:rPr>
          <w:rFonts w:ascii="Verdana-Bold" w:hAnsi="Verdana-Bold" w:cs="Verdana-Bold"/>
          <w:b/>
          <w:bCs/>
          <w:color w:val="0077BE"/>
          <w:sz w:val="18"/>
          <w:szCs w:val="18"/>
        </w:rPr>
        <w:t xml:space="preserve">Senior Capstone: Business </w:t>
      </w:r>
      <w:r>
        <w:rPr>
          <w:rFonts w:ascii="Verdana-Bold" w:hAnsi="Verdana-Bold" w:cs="Verdana-Bold"/>
          <w:b/>
          <w:bCs/>
          <w:color w:val="FFFFFF"/>
          <w:sz w:val="18"/>
          <w:szCs w:val="18"/>
        </w:rPr>
        <w:t>25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There’s some potential for variation in answers, but your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conclusion</w:t>
      </w:r>
      <w:proofErr w:type="gramEnd"/>
      <w:r>
        <w:rPr>
          <w:rFonts w:ascii="BookmanOldStyle" w:hAnsi="BookmanOldStyle" w:cs="BookmanOldStyle"/>
          <w:color w:val="000000"/>
        </w:rPr>
        <w:t xml:space="preserve"> should approximate a break-even point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between</w:t>
      </w:r>
      <w:proofErr w:type="gramEnd"/>
      <w:r>
        <w:rPr>
          <w:rFonts w:ascii="BookmanOldStyle" w:hAnsi="BookmanOldStyle" w:cs="BookmanOldStyle"/>
          <w:color w:val="000000"/>
        </w:rPr>
        <w:t xml:space="preserve"> 3,000 and 4,000 stores for the first year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of</w:t>
      </w:r>
      <w:proofErr w:type="gramEnd"/>
      <w:r>
        <w:rPr>
          <w:rFonts w:ascii="BookmanOldStyle" w:hAnsi="BookmanOldStyle" w:cs="BookmanOldStyle"/>
          <w:color w:val="000000"/>
        </w:rPr>
        <w:t xml:space="preserve"> operations.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FranklinGothic-Heavy" w:hAnsi="FranklinGothic-Heavy" w:cs="FranklinGothic-Heavy"/>
          <w:color w:val="0077BE"/>
          <w:sz w:val="28"/>
          <w:szCs w:val="28"/>
        </w:rPr>
      </w:pPr>
      <w:r>
        <w:rPr>
          <w:rFonts w:ascii="FranklinGothic-Heavy" w:hAnsi="FranklinGothic-Heavy" w:cs="FranklinGothic-Heavy"/>
          <w:color w:val="0077BE"/>
          <w:sz w:val="28"/>
          <w:szCs w:val="28"/>
        </w:rPr>
        <w:t>Step 3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Now study Table 2, which presents a recommended framework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for</w:t>
      </w:r>
      <w:proofErr w:type="gramEnd"/>
      <w:r>
        <w:rPr>
          <w:rFonts w:ascii="BookmanOldStyle" w:hAnsi="BookmanOldStyle" w:cs="BookmanOldStyle"/>
          <w:color w:val="000000"/>
        </w:rPr>
        <w:t xml:space="preserve"> the analysis and computation of the amount of market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share</w:t>
      </w:r>
      <w:proofErr w:type="gramEnd"/>
      <w:r>
        <w:rPr>
          <w:rFonts w:ascii="BookmanOldStyle" w:hAnsi="BookmanOldStyle" w:cs="BookmanOldStyle"/>
          <w:color w:val="000000"/>
        </w:rPr>
        <w:t xml:space="preserve"> required to achieve break-even in stores for PPMC. The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composition</w:t>
      </w:r>
      <w:proofErr w:type="gramEnd"/>
      <w:r>
        <w:rPr>
          <w:rFonts w:ascii="BookmanOldStyle" w:hAnsi="BookmanOldStyle" w:cs="BookmanOldStyle"/>
          <w:color w:val="000000"/>
        </w:rPr>
        <w:t xml:space="preserve"> of the stores in the example will change over time.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Using your own research skills and abilities, determine the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number</w:t>
      </w:r>
      <w:proofErr w:type="gramEnd"/>
      <w:r>
        <w:rPr>
          <w:rFonts w:ascii="BookmanOldStyle" w:hAnsi="BookmanOldStyle" w:cs="BookmanOldStyle"/>
          <w:color w:val="000000"/>
        </w:rPr>
        <w:t xml:space="preserve"> of grocery stores in the United States. For example,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you</w:t>
      </w:r>
      <w:proofErr w:type="gramEnd"/>
      <w:r>
        <w:rPr>
          <w:rFonts w:ascii="BookmanOldStyle" w:hAnsi="BookmanOldStyle" w:cs="BookmanOldStyle"/>
          <w:color w:val="000000"/>
        </w:rPr>
        <w:t xml:space="preserve"> could go to </w:t>
      </w:r>
      <w:proofErr w:type="spellStart"/>
      <w:r>
        <w:rPr>
          <w:rFonts w:ascii="BookmanOldStyle" w:hAnsi="BookmanOldStyle" w:cs="BookmanOldStyle"/>
          <w:color w:val="000000"/>
        </w:rPr>
        <w:t>Yahoo!Finance</w:t>
      </w:r>
      <w:proofErr w:type="spellEnd"/>
      <w:r>
        <w:rPr>
          <w:rFonts w:ascii="BookmanOldStyle" w:hAnsi="BookmanOldStyle" w:cs="BookmanOldStyle"/>
          <w:color w:val="000000"/>
        </w:rPr>
        <w:t xml:space="preserve"> to identify a stock for a publicly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traded</w:t>
      </w:r>
      <w:proofErr w:type="gramEnd"/>
      <w:r>
        <w:rPr>
          <w:rFonts w:ascii="BookmanOldStyle" w:hAnsi="BookmanOldStyle" w:cs="BookmanOldStyle"/>
          <w:color w:val="000000"/>
        </w:rPr>
        <w:t xml:space="preserve"> grocery retailer (e.g., KR for Kroger), then use the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spellStart"/>
      <w:r>
        <w:rPr>
          <w:rFonts w:ascii="BookmanOldStyle" w:hAnsi="BookmanOldStyle" w:cs="BookmanOldStyle"/>
          <w:color w:val="000000"/>
        </w:rPr>
        <w:t>Yahoo</w:t>
      </w:r>
      <w:proofErr w:type="gramStart"/>
      <w:r>
        <w:rPr>
          <w:rFonts w:ascii="BookmanOldStyle" w:hAnsi="BookmanOldStyle" w:cs="BookmanOldStyle"/>
          <w:color w:val="000000"/>
        </w:rPr>
        <w:t>!Finance</w:t>
      </w:r>
      <w:proofErr w:type="spellEnd"/>
      <w:proofErr w:type="gramEnd"/>
      <w:r>
        <w:rPr>
          <w:rFonts w:ascii="BookmanOldStyle" w:hAnsi="BookmanOldStyle" w:cs="BookmanOldStyle"/>
          <w:color w:val="000000"/>
        </w:rPr>
        <w:t xml:space="preserve"> feature that allows you to view stocks for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competing</w:t>
      </w:r>
      <w:proofErr w:type="gramEnd"/>
      <w:r>
        <w:rPr>
          <w:rFonts w:ascii="BookmanOldStyle" w:hAnsi="BookmanOldStyle" w:cs="BookmanOldStyle"/>
          <w:color w:val="000000"/>
        </w:rPr>
        <w:t xml:space="preserve"> firms in the same industry. Once you’ve done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that</w:t>
      </w:r>
      <w:proofErr w:type="gramEnd"/>
      <w:r>
        <w:rPr>
          <w:rFonts w:ascii="BookmanOldStyle" w:hAnsi="BookmanOldStyle" w:cs="BookmanOldStyle"/>
          <w:color w:val="000000"/>
        </w:rPr>
        <w:t>, go to the Web site for each firm, where the vast majority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list</w:t>
      </w:r>
      <w:proofErr w:type="gramEnd"/>
      <w:r>
        <w:rPr>
          <w:rFonts w:ascii="BookmanOldStyle" w:hAnsi="BookmanOldStyle" w:cs="BookmanOldStyle"/>
          <w:color w:val="000000"/>
        </w:rPr>
        <w:t xml:space="preserve"> the number of retail outlets.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>Table 1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00000"/>
          <w:sz w:val="18"/>
          <w:szCs w:val="18"/>
        </w:rPr>
      </w:pPr>
      <w:r>
        <w:rPr>
          <w:rFonts w:ascii="Verdana-Bold" w:hAnsi="Verdana-Bold" w:cs="Verdana-Bold"/>
          <w:b/>
          <w:bCs/>
          <w:color w:val="000000"/>
          <w:sz w:val="18"/>
          <w:szCs w:val="18"/>
        </w:rPr>
        <w:t>PPMC First year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00000"/>
          <w:sz w:val="18"/>
          <w:szCs w:val="18"/>
        </w:rPr>
      </w:pPr>
      <w:r>
        <w:rPr>
          <w:rFonts w:ascii="Verdana-Bold" w:hAnsi="Verdana-Bold" w:cs="Verdana-Bold"/>
          <w:b/>
          <w:bCs/>
          <w:color w:val="000000"/>
          <w:sz w:val="18"/>
          <w:szCs w:val="18"/>
        </w:rPr>
        <w:t xml:space="preserve">Note J F M A M J </w:t>
      </w:r>
      <w:proofErr w:type="spellStart"/>
      <w:r>
        <w:rPr>
          <w:rFonts w:ascii="Verdana-Bold" w:hAnsi="Verdana-Bold" w:cs="Verdana-Bold"/>
          <w:b/>
          <w:bCs/>
          <w:color w:val="000000"/>
          <w:sz w:val="18"/>
          <w:szCs w:val="18"/>
        </w:rPr>
        <w:t>J</w:t>
      </w:r>
      <w:proofErr w:type="spellEnd"/>
      <w:r>
        <w:rPr>
          <w:rFonts w:ascii="Verdana-Bold" w:hAnsi="Verdana-Bold" w:cs="Verdana-Bold"/>
          <w:b/>
          <w:bCs/>
          <w:color w:val="000000"/>
          <w:sz w:val="18"/>
          <w:szCs w:val="18"/>
        </w:rPr>
        <w:t xml:space="preserve"> A S O N D Annual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Stores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Multiply by 200 carts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Total Carts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Multiply by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proofErr w:type="gramStart"/>
      <w:r>
        <w:rPr>
          <w:rFonts w:ascii="Verdana" w:hAnsi="Verdana" w:cs="Verdana"/>
          <w:color w:val="000000"/>
          <w:sz w:val="18"/>
          <w:szCs w:val="18"/>
        </w:rPr>
        <w:t>revenue</w:t>
      </w:r>
      <w:proofErr w:type="gramEnd"/>
      <w:r>
        <w:rPr>
          <w:rFonts w:ascii="Verdana" w:hAnsi="Verdana" w:cs="Verdana"/>
          <w:color w:val="000000"/>
          <w:sz w:val="18"/>
          <w:szCs w:val="18"/>
        </w:rPr>
        <w:t xml:space="preserve"> per cart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Total revenues 1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Variable costs (VC)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Amortization</w:t>
      </w:r>
    </w:p>
    <w:p w:rsidR="00675BB0" w:rsidRDefault="00675BB0" w:rsidP="00675BB0">
      <w:pPr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(2 year S/L) 2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077BE"/>
          <w:sz w:val="18"/>
          <w:szCs w:val="18"/>
        </w:rPr>
      </w:pPr>
      <w:r>
        <w:rPr>
          <w:rFonts w:ascii="Verdana-Bold" w:hAnsi="Verdana-Bold" w:cs="Verdana-Bold"/>
          <w:b/>
          <w:bCs/>
          <w:color w:val="FFFFFF"/>
          <w:sz w:val="18"/>
          <w:szCs w:val="18"/>
        </w:rPr>
        <w:t xml:space="preserve">26 </w:t>
      </w:r>
      <w:r>
        <w:rPr>
          <w:rFonts w:ascii="Verdana-Bold" w:hAnsi="Verdana-Bold" w:cs="Verdana-Bold"/>
          <w:b/>
          <w:bCs/>
          <w:color w:val="0077BE"/>
          <w:sz w:val="18"/>
          <w:szCs w:val="18"/>
        </w:rPr>
        <w:t>Senior Capstone: Business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FranklinGothic-Heavy" w:hAnsi="FranklinGothic-Heavy" w:cs="FranklinGothic-Heavy"/>
          <w:color w:val="0077BE"/>
          <w:sz w:val="36"/>
          <w:szCs w:val="36"/>
        </w:rPr>
      </w:pPr>
      <w:r>
        <w:rPr>
          <w:rFonts w:ascii="FranklinGothic-Heavy" w:hAnsi="FranklinGothic-Heavy" w:cs="FranklinGothic-Heavy"/>
          <w:color w:val="0077BE"/>
          <w:sz w:val="36"/>
          <w:szCs w:val="36"/>
        </w:rPr>
        <w:t>Writing Guidelines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Refer to the “Submitting Your Work” section at the end of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proofErr w:type="gramStart"/>
      <w:r>
        <w:rPr>
          <w:rFonts w:ascii="BookmanOldStyle" w:hAnsi="BookmanOldStyle" w:cs="BookmanOldStyle"/>
          <w:color w:val="000000"/>
        </w:rPr>
        <w:t>this</w:t>
      </w:r>
      <w:proofErr w:type="gramEnd"/>
      <w:r>
        <w:rPr>
          <w:rFonts w:ascii="BookmanOldStyle" w:hAnsi="BookmanOldStyle" w:cs="BookmanOldStyle"/>
          <w:color w:val="000000"/>
        </w:rPr>
        <w:t xml:space="preserve"> book for details on submission requirements for the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color w:val="000000"/>
        </w:rPr>
      </w:pPr>
      <w:r>
        <w:rPr>
          <w:rFonts w:ascii="BookmanOldStyle" w:hAnsi="BookmanOldStyle" w:cs="BookmanOldStyle"/>
          <w:color w:val="000000"/>
        </w:rPr>
        <w:t>PPMC Case assignment.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>Table 2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00000"/>
          <w:sz w:val="18"/>
          <w:szCs w:val="18"/>
        </w:rPr>
      </w:pPr>
      <w:r>
        <w:rPr>
          <w:rFonts w:ascii="Verdana-Bold" w:hAnsi="Verdana-Bold" w:cs="Verdana-Bold"/>
          <w:b/>
          <w:bCs/>
          <w:color w:val="000000"/>
          <w:sz w:val="18"/>
          <w:szCs w:val="18"/>
        </w:rPr>
        <w:t>Stock Ticker No. of Stores Firm Name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KR Kroger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ABS Albertson’s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lastRenderedPageBreak/>
        <w:t>Safeway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Ahold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SUPERVALU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Winn-Dixie Stores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Publix Super Markets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Great Atlantic &amp; Pacific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Smart &amp; Final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Ingles Markets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Blue Square-Israel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Pathmark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Ruddick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Whole Foods Market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Weis Markets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Marsh Supermarkets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Nash Finch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Fresh Brands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Wild Oats Markets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Spartan Stores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Eagle Food Centers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proofErr w:type="spellStart"/>
      <w:r>
        <w:rPr>
          <w:rFonts w:ascii="Verdana" w:hAnsi="Verdana" w:cs="Verdana"/>
          <w:color w:val="000000"/>
          <w:sz w:val="18"/>
          <w:szCs w:val="18"/>
        </w:rPr>
        <w:t>Gristede’s</w:t>
      </w:r>
      <w:proofErr w:type="spellEnd"/>
      <w:r>
        <w:rPr>
          <w:rFonts w:ascii="Verdana" w:hAnsi="Verdana" w:cs="Verdana"/>
          <w:color w:val="000000"/>
          <w:sz w:val="18"/>
          <w:szCs w:val="18"/>
        </w:rPr>
        <w:t xml:space="preserve"> Foods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Village Super Market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proofErr w:type="spellStart"/>
      <w:r>
        <w:rPr>
          <w:rFonts w:ascii="Verdana" w:hAnsi="Verdana" w:cs="Verdana"/>
          <w:color w:val="000000"/>
          <w:sz w:val="18"/>
          <w:szCs w:val="18"/>
        </w:rPr>
        <w:t>Foodarama</w:t>
      </w:r>
      <w:proofErr w:type="spellEnd"/>
      <w:r>
        <w:rPr>
          <w:rFonts w:ascii="Verdana" w:hAnsi="Verdana" w:cs="Verdana"/>
          <w:color w:val="000000"/>
          <w:sz w:val="18"/>
          <w:szCs w:val="18"/>
        </w:rPr>
        <w:t xml:space="preserve"> Supermarkets</w:t>
      </w:r>
    </w:p>
    <w:p w:rsidR="00675BB0" w:rsidRDefault="00675BB0" w:rsidP="00675BB0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Arden Group</w:t>
      </w:r>
    </w:p>
    <w:p w:rsidR="00675BB0" w:rsidRDefault="00675BB0" w:rsidP="00675BB0">
      <w:pPr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Total</w:t>
      </w:r>
    </w:p>
    <w:p w:rsidR="00675BB0" w:rsidRDefault="00675BB0" w:rsidP="00675BB0">
      <w:pPr>
        <w:rPr>
          <w:rFonts w:ascii="Verdana" w:hAnsi="Verdana" w:cs="Verdana"/>
          <w:color w:val="000000"/>
          <w:sz w:val="18"/>
          <w:szCs w:val="18"/>
        </w:rPr>
      </w:pPr>
    </w:p>
    <w:p w:rsidR="00675BB0" w:rsidRDefault="00675BB0" w:rsidP="00675BB0">
      <w:pPr>
        <w:rPr>
          <w:rFonts w:ascii="Verdana" w:hAnsi="Verdana" w:cs="Verdana"/>
          <w:color w:val="000000"/>
          <w:sz w:val="18"/>
          <w:szCs w:val="18"/>
        </w:rPr>
      </w:pPr>
    </w:p>
    <w:p w:rsidR="00675BB0" w:rsidRDefault="00675BB0" w:rsidP="00675BB0">
      <w:pPr>
        <w:rPr>
          <w:rFonts w:ascii="Verdana" w:hAnsi="Verdana" w:cs="Verdana"/>
          <w:color w:val="000000"/>
          <w:sz w:val="18"/>
          <w:szCs w:val="18"/>
        </w:rPr>
      </w:pPr>
    </w:p>
    <w:p w:rsidR="00675BB0" w:rsidRDefault="00675BB0" w:rsidP="001E21ED"/>
    <w:p w:rsidR="001E21ED" w:rsidRDefault="001E21ED" w:rsidP="001E21ED"/>
    <w:p w:rsidR="001E21ED" w:rsidRDefault="001E21ED" w:rsidP="001E21ED"/>
    <w:p w:rsidR="001E21ED" w:rsidRDefault="001E21ED" w:rsidP="001E21ED"/>
    <w:p w:rsidR="001E21ED" w:rsidRDefault="001E21ED" w:rsidP="001E21ED"/>
    <w:p w:rsidR="001E21ED" w:rsidRDefault="001E21ED" w:rsidP="001E21ED"/>
    <w:p w:rsidR="001E21ED" w:rsidRDefault="001E21ED" w:rsidP="001E21ED"/>
    <w:sectPr w:rsidR="001E21ED" w:rsidSect="00F93F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Gothic-Heavy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ranklinGothic-Heavy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manOldStyl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manOldStyle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OldStyle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1ED"/>
    <w:rsid w:val="0014218B"/>
    <w:rsid w:val="001E21ED"/>
    <w:rsid w:val="00675BB0"/>
    <w:rsid w:val="00E64616"/>
    <w:rsid w:val="00F63C46"/>
    <w:rsid w:val="00F93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F35D5A9-583D-4D8C-BFDD-BFB243AFC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2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21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1756</Words>
  <Characters>10014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user</cp:lastModifiedBy>
  <cp:revision>2</cp:revision>
  <dcterms:created xsi:type="dcterms:W3CDTF">2015-04-28T12:07:00Z</dcterms:created>
  <dcterms:modified xsi:type="dcterms:W3CDTF">2015-04-28T12:07:00Z</dcterms:modified>
</cp:coreProperties>
</file>