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DD1" w:rsidRPr="007B5DD1" w:rsidRDefault="00836BF1" w:rsidP="007B5DD1">
      <w:pPr>
        <w:pStyle w:val="NoSpacing"/>
        <w:jc w:val="center"/>
        <w:rPr>
          <w:rFonts w:ascii="Verdana" w:hAnsi="Verdana"/>
          <w:b/>
          <w:sz w:val="24"/>
          <w:szCs w:val="24"/>
        </w:rPr>
      </w:pPr>
      <w:r>
        <w:rPr>
          <w:rFonts w:ascii="Verdana" w:hAnsi="Verdana"/>
          <w:b/>
          <w:sz w:val="24"/>
          <w:szCs w:val="24"/>
        </w:rPr>
        <w:t>MBA 655</w:t>
      </w:r>
      <w:bookmarkStart w:id="0" w:name="_GoBack"/>
      <w:bookmarkEnd w:id="0"/>
    </w:p>
    <w:p w:rsidR="00060C34" w:rsidRPr="007B5DD1" w:rsidRDefault="00060C34" w:rsidP="007B5DD1">
      <w:pPr>
        <w:pStyle w:val="NoSpacing"/>
        <w:jc w:val="center"/>
        <w:rPr>
          <w:rFonts w:ascii="Verdana" w:hAnsi="Verdana"/>
          <w:b/>
          <w:sz w:val="24"/>
          <w:szCs w:val="24"/>
        </w:rPr>
      </w:pPr>
      <w:r w:rsidRPr="007B5DD1">
        <w:rPr>
          <w:rFonts w:ascii="Verdana" w:hAnsi="Verdana"/>
          <w:b/>
          <w:sz w:val="24"/>
          <w:szCs w:val="24"/>
        </w:rPr>
        <w:t xml:space="preserve">Quiz </w:t>
      </w:r>
      <w:r w:rsidR="00BC58A5">
        <w:rPr>
          <w:rFonts w:ascii="Verdana" w:hAnsi="Verdana"/>
          <w:b/>
          <w:sz w:val="24"/>
          <w:szCs w:val="24"/>
        </w:rPr>
        <w:t>4</w:t>
      </w:r>
    </w:p>
    <w:p w:rsidR="00060C34" w:rsidRPr="007B5DD1" w:rsidRDefault="00060C34" w:rsidP="007B5DD1">
      <w:pPr>
        <w:pStyle w:val="NoSpacing"/>
        <w:jc w:val="center"/>
        <w:rPr>
          <w:rFonts w:ascii="Verdana" w:hAnsi="Verdana"/>
          <w:b/>
          <w:sz w:val="24"/>
          <w:szCs w:val="24"/>
        </w:rPr>
      </w:pPr>
    </w:p>
    <w:p w:rsidR="00060C34" w:rsidRPr="007B5DD1" w:rsidRDefault="00BC58A5" w:rsidP="007B5DD1">
      <w:pPr>
        <w:pStyle w:val="NoSpacing"/>
        <w:jc w:val="center"/>
        <w:rPr>
          <w:rFonts w:ascii="Verdana" w:hAnsi="Verdana"/>
          <w:b/>
          <w:sz w:val="24"/>
          <w:szCs w:val="24"/>
        </w:rPr>
      </w:pPr>
      <w:r>
        <w:rPr>
          <w:rFonts w:ascii="Verdana" w:hAnsi="Verdana"/>
          <w:b/>
          <w:sz w:val="24"/>
          <w:szCs w:val="24"/>
        </w:rPr>
        <w:t>Cranston Dispensers, Inc.</w:t>
      </w:r>
    </w:p>
    <w:p w:rsidR="00060C34" w:rsidRDefault="00060C34" w:rsidP="00060C34">
      <w:pPr>
        <w:pStyle w:val="NoSpacing"/>
        <w:rPr>
          <w:rFonts w:ascii="Verdana" w:hAnsi="Verdana"/>
          <w:sz w:val="24"/>
          <w:szCs w:val="24"/>
        </w:rPr>
      </w:pPr>
    </w:p>
    <w:p w:rsidR="00BC58A5" w:rsidRDefault="00BC58A5" w:rsidP="00060C34">
      <w:pPr>
        <w:pStyle w:val="NoSpacing"/>
        <w:rPr>
          <w:rFonts w:ascii="Verdana" w:hAnsi="Verdana"/>
          <w:sz w:val="24"/>
          <w:szCs w:val="24"/>
        </w:rPr>
      </w:pPr>
      <w:r>
        <w:rPr>
          <w:rFonts w:ascii="Verdana" w:hAnsi="Verdana"/>
          <w:sz w:val="24"/>
          <w:szCs w:val="24"/>
        </w:rPr>
        <w:t xml:space="preserve">In the early 1990s, Cranston Dispensers, Inc. was quick to realize that concern for the environment would cause many </w:t>
      </w:r>
      <w:proofErr w:type="gramStart"/>
      <w:r>
        <w:rPr>
          <w:rFonts w:ascii="Verdana" w:hAnsi="Verdana"/>
          <w:sz w:val="24"/>
          <w:szCs w:val="24"/>
        </w:rPr>
        <w:t>consumer</w:t>
      </w:r>
      <w:proofErr w:type="gramEnd"/>
      <w:r>
        <w:rPr>
          <w:rFonts w:ascii="Verdana" w:hAnsi="Verdana"/>
          <w:sz w:val="24"/>
          <w:szCs w:val="24"/>
        </w:rPr>
        <w:t xml:space="preserve"> product manufacturers to move away from aerosol dispensers to mechanical alternatives that pose no threat to the ozone layer.  In the following decades, most countries banned the most popular aerosol propellants, first chlorofluorocarbons and then </w:t>
      </w:r>
      <w:proofErr w:type="spellStart"/>
      <w:r>
        <w:rPr>
          <w:rFonts w:ascii="Verdana" w:hAnsi="Verdana"/>
          <w:sz w:val="24"/>
          <w:szCs w:val="24"/>
        </w:rPr>
        <w:t>hydrocholrofluoro</w:t>
      </w:r>
      <w:r w:rsidR="005C283C">
        <w:rPr>
          <w:rFonts w:ascii="Verdana" w:hAnsi="Verdana"/>
          <w:sz w:val="24"/>
          <w:szCs w:val="24"/>
        </w:rPr>
        <w:t>car</w:t>
      </w:r>
      <w:r>
        <w:rPr>
          <w:rFonts w:ascii="Verdana" w:hAnsi="Verdana"/>
          <w:sz w:val="24"/>
          <w:szCs w:val="24"/>
        </w:rPr>
        <w:t>bons</w:t>
      </w:r>
      <w:proofErr w:type="spellEnd"/>
      <w:r>
        <w:rPr>
          <w:rFonts w:ascii="Verdana" w:hAnsi="Verdana"/>
          <w:sz w:val="24"/>
          <w:szCs w:val="24"/>
        </w:rPr>
        <w:t>. As the leading manufacturer of specialized pump and spray containers for a variety of products in cosmetics, household cleaning supplies, and pharmaceutical industries, Cranston experienced a rapid increase in sales and profitability after it made this strategic move.  At that time, the firm focused much of its attention on capturing market share and keeping up with demand.</w:t>
      </w:r>
    </w:p>
    <w:p w:rsidR="00BC58A5" w:rsidRDefault="00BC58A5" w:rsidP="00060C34">
      <w:pPr>
        <w:pStyle w:val="NoSpacing"/>
        <w:rPr>
          <w:rFonts w:ascii="Verdana" w:hAnsi="Verdana"/>
          <w:sz w:val="24"/>
          <w:szCs w:val="24"/>
        </w:rPr>
      </w:pPr>
    </w:p>
    <w:p w:rsidR="00BC58A5" w:rsidRDefault="00BC58A5" w:rsidP="00060C34">
      <w:pPr>
        <w:pStyle w:val="NoSpacing"/>
        <w:rPr>
          <w:rFonts w:ascii="Verdana" w:hAnsi="Verdana"/>
          <w:sz w:val="24"/>
          <w:szCs w:val="24"/>
        </w:rPr>
      </w:pPr>
      <w:r>
        <w:rPr>
          <w:rFonts w:ascii="Verdana" w:hAnsi="Verdana"/>
          <w:sz w:val="24"/>
          <w:szCs w:val="24"/>
        </w:rPr>
        <w:t xml:space="preserve">For most of </w:t>
      </w:r>
      <w:r w:rsidR="005C283C">
        <w:rPr>
          <w:rFonts w:ascii="Verdana" w:hAnsi="Verdana"/>
          <w:sz w:val="24"/>
          <w:szCs w:val="24"/>
        </w:rPr>
        <w:t>20x4</w:t>
      </w:r>
      <w:r>
        <w:rPr>
          <w:rFonts w:ascii="Verdana" w:hAnsi="Verdana"/>
          <w:sz w:val="24"/>
          <w:szCs w:val="24"/>
        </w:rPr>
        <w:t xml:space="preserve"> and </w:t>
      </w:r>
      <w:r w:rsidR="005C283C">
        <w:rPr>
          <w:rFonts w:ascii="Verdana" w:hAnsi="Verdana"/>
          <w:sz w:val="24"/>
          <w:szCs w:val="24"/>
        </w:rPr>
        <w:t>20x5</w:t>
      </w:r>
      <w:r>
        <w:rPr>
          <w:rFonts w:ascii="Verdana" w:hAnsi="Verdana"/>
          <w:sz w:val="24"/>
          <w:szCs w:val="24"/>
        </w:rPr>
        <w:t xml:space="preserve">, however, Cranston’s share price was falling while shares of other companies in the industry were rising.  At the end of fiscal </w:t>
      </w:r>
      <w:r w:rsidR="005C283C">
        <w:rPr>
          <w:rFonts w:ascii="Verdana" w:hAnsi="Verdana"/>
          <w:sz w:val="24"/>
          <w:szCs w:val="24"/>
        </w:rPr>
        <w:t>20x5</w:t>
      </w:r>
      <w:r>
        <w:rPr>
          <w:rFonts w:ascii="Verdana" w:hAnsi="Verdana"/>
          <w:sz w:val="24"/>
          <w:szCs w:val="24"/>
        </w:rPr>
        <w:t>, the company hired Susan McNulty as the new treasurer, with the expectation that she would diagnose Cranston’s problems and improve the company’s financial performance relative to that of its competitors.  She decided to begin the task with a thorough review of the company’s working capital management practices.</w:t>
      </w:r>
    </w:p>
    <w:p w:rsidR="00BC58A5" w:rsidRDefault="00BC58A5" w:rsidP="00060C34">
      <w:pPr>
        <w:pStyle w:val="NoSpacing"/>
        <w:rPr>
          <w:rFonts w:ascii="Verdana" w:hAnsi="Verdana"/>
          <w:sz w:val="24"/>
          <w:szCs w:val="24"/>
        </w:rPr>
      </w:pPr>
    </w:p>
    <w:p w:rsidR="000A03ED" w:rsidRDefault="00BC58A5" w:rsidP="00060C34">
      <w:pPr>
        <w:pStyle w:val="NoSpacing"/>
        <w:rPr>
          <w:rFonts w:ascii="Verdana" w:hAnsi="Verdana"/>
          <w:sz w:val="24"/>
          <w:szCs w:val="24"/>
        </w:rPr>
      </w:pPr>
      <w:r>
        <w:rPr>
          <w:rFonts w:ascii="Verdana" w:hAnsi="Verdana"/>
          <w:sz w:val="24"/>
          <w:szCs w:val="24"/>
        </w:rPr>
        <w:t>While exam</w:t>
      </w:r>
      <w:r w:rsidR="000A03ED">
        <w:rPr>
          <w:rFonts w:ascii="Verdana" w:hAnsi="Verdana"/>
          <w:sz w:val="24"/>
          <w:szCs w:val="24"/>
        </w:rPr>
        <w:t>in</w:t>
      </w:r>
      <w:r>
        <w:rPr>
          <w:rFonts w:ascii="Verdana" w:hAnsi="Verdana"/>
          <w:sz w:val="24"/>
          <w:szCs w:val="24"/>
        </w:rPr>
        <w:t xml:space="preserve">ing the company’s financial statements, she noted that Cranston had a higher percentage of current assets on its balance sheet than other companies in the packaging industry.  The high level of current assets caused the company to carry more short-term debt and to have higher interest expense than its competitors.  </w:t>
      </w:r>
      <w:r w:rsidR="000A03ED">
        <w:rPr>
          <w:rFonts w:ascii="Verdana" w:hAnsi="Verdana"/>
          <w:sz w:val="24"/>
          <w:szCs w:val="24"/>
        </w:rPr>
        <w:t>It was also causing the company to lag behind its competitors on some key financial measures, such as return on assets and return on equity.</w:t>
      </w:r>
    </w:p>
    <w:p w:rsidR="000A03ED" w:rsidRDefault="000A03ED" w:rsidP="00060C34">
      <w:pPr>
        <w:pStyle w:val="NoSpacing"/>
        <w:rPr>
          <w:rFonts w:ascii="Verdana" w:hAnsi="Verdana"/>
          <w:sz w:val="24"/>
          <w:szCs w:val="24"/>
        </w:rPr>
      </w:pPr>
    </w:p>
    <w:p w:rsidR="00060C34" w:rsidRDefault="000A03ED" w:rsidP="00060C34">
      <w:pPr>
        <w:pStyle w:val="NoSpacing"/>
        <w:rPr>
          <w:rFonts w:ascii="Verdana" w:hAnsi="Verdana"/>
          <w:sz w:val="24"/>
          <w:szCs w:val="24"/>
        </w:rPr>
      </w:pPr>
      <w:r>
        <w:rPr>
          <w:rFonts w:ascii="Verdana" w:hAnsi="Verdana"/>
          <w:sz w:val="24"/>
          <w:szCs w:val="24"/>
        </w:rPr>
        <w:t>In an effort to improve Cranston’s overall performance, Susan has decided to conduct a comprehensive review of working capital management policies, including those related to the cash conversion cycle, credit policy, and inventory management.  Cranston’s financial statements for the three most recent years follow.</w:t>
      </w:r>
      <w:r w:rsidR="00BC58A5">
        <w:rPr>
          <w:rFonts w:ascii="Verdana" w:hAnsi="Verdana"/>
          <w:sz w:val="24"/>
          <w:szCs w:val="24"/>
        </w:rPr>
        <w:t xml:space="preserve">     </w:t>
      </w:r>
    </w:p>
    <w:p w:rsidR="00060C34" w:rsidRDefault="00060C34" w:rsidP="00060C34">
      <w:pPr>
        <w:pStyle w:val="NoSpacing"/>
        <w:rPr>
          <w:rFonts w:ascii="Verdana" w:hAnsi="Verdana"/>
          <w:sz w:val="24"/>
          <w:szCs w:val="24"/>
        </w:rPr>
      </w:pPr>
    </w:p>
    <w:p w:rsidR="00060C34" w:rsidRDefault="000A03ED" w:rsidP="008273D3">
      <w:pPr>
        <w:pStyle w:val="NoSpacing"/>
        <w:jc w:val="center"/>
        <w:rPr>
          <w:rFonts w:ascii="Verdana" w:hAnsi="Verdana"/>
          <w:sz w:val="24"/>
          <w:szCs w:val="24"/>
        </w:rPr>
      </w:pPr>
      <w:r>
        <w:rPr>
          <w:rFonts w:ascii="Verdana" w:hAnsi="Verdana"/>
          <w:sz w:val="24"/>
          <w:szCs w:val="24"/>
        </w:rPr>
        <w:t>Cranston Dispensers</w:t>
      </w:r>
    </w:p>
    <w:p w:rsidR="00060C34" w:rsidRDefault="00060C34" w:rsidP="008273D3">
      <w:pPr>
        <w:pStyle w:val="NoSpacing"/>
        <w:jc w:val="center"/>
        <w:rPr>
          <w:rFonts w:ascii="Verdana" w:hAnsi="Verdana"/>
          <w:sz w:val="24"/>
          <w:szCs w:val="24"/>
        </w:rPr>
      </w:pPr>
      <w:r>
        <w:rPr>
          <w:rFonts w:ascii="Verdana" w:hAnsi="Verdana"/>
          <w:sz w:val="24"/>
          <w:szCs w:val="24"/>
        </w:rPr>
        <w:t>Income Statement</w:t>
      </w:r>
    </w:p>
    <w:p w:rsidR="00060C34" w:rsidRDefault="00060C34" w:rsidP="008273D3">
      <w:pPr>
        <w:pStyle w:val="NoSpacing"/>
        <w:jc w:val="center"/>
        <w:rPr>
          <w:rFonts w:ascii="Verdana" w:hAnsi="Verdana"/>
          <w:sz w:val="24"/>
          <w:szCs w:val="24"/>
        </w:rPr>
      </w:pPr>
      <w:r>
        <w:rPr>
          <w:rFonts w:ascii="Verdana" w:hAnsi="Verdana"/>
          <w:sz w:val="24"/>
          <w:szCs w:val="24"/>
        </w:rPr>
        <w:t xml:space="preserve">($ in </w:t>
      </w:r>
      <w:r w:rsidR="000A03ED">
        <w:rPr>
          <w:rFonts w:ascii="Verdana" w:hAnsi="Verdana"/>
          <w:sz w:val="24"/>
          <w:szCs w:val="24"/>
        </w:rPr>
        <w:t>thousands</w:t>
      </w:r>
      <w:r>
        <w:rPr>
          <w:rFonts w:ascii="Verdana" w:hAnsi="Verdana"/>
          <w:sz w:val="24"/>
          <w:szCs w:val="24"/>
        </w:rPr>
        <w:t>)</w:t>
      </w:r>
    </w:p>
    <w:p w:rsidR="00060C34" w:rsidRDefault="00060C34" w:rsidP="00060C34">
      <w:pPr>
        <w:pStyle w:val="NoSpacing"/>
        <w:rPr>
          <w:rFonts w:ascii="Verdana" w:hAnsi="Verdana"/>
          <w:sz w:val="24"/>
          <w:szCs w:val="24"/>
        </w:rPr>
      </w:pPr>
    </w:p>
    <w:tbl>
      <w:tblPr>
        <w:tblStyle w:val="TableGrid"/>
        <w:tblW w:w="0" w:type="auto"/>
        <w:tblLook w:val="04A0" w:firstRow="1" w:lastRow="0" w:firstColumn="1" w:lastColumn="0" w:noHBand="0" w:noVBand="1"/>
      </w:tblPr>
      <w:tblGrid>
        <w:gridCol w:w="5328"/>
        <w:gridCol w:w="1440"/>
        <w:gridCol w:w="1440"/>
        <w:gridCol w:w="1368"/>
      </w:tblGrid>
      <w:tr w:rsidR="00060C34" w:rsidRPr="00060C34" w:rsidTr="008273D3">
        <w:tc>
          <w:tcPr>
            <w:tcW w:w="5328" w:type="dxa"/>
          </w:tcPr>
          <w:p w:rsidR="00060C34" w:rsidRPr="00060C34" w:rsidRDefault="00060C34" w:rsidP="00060C34">
            <w:pPr>
              <w:pStyle w:val="NoSpacing"/>
              <w:jc w:val="center"/>
              <w:rPr>
                <w:rFonts w:ascii="Verdana" w:hAnsi="Verdana"/>
                <w:b/>
                <w:sz w:val="24"/>
                <w:szCs w:val="24"/>
              </w:rPr>
            </w:pPr>
            <w:r>
              <w:rPr>
                <w:rFonts w:ascii="Verdana" w:hAnsi="Verdana"/>
                <w:b/>
                <w:sz w:val="24"/>
                <w:szCs w:val="24"/>
              </w:rPr>
              <w:t>Account</w:t>
            </w:r>
          </w:p>
        </w:tc>
        <w:tc>
          <w:tcPr>
            <w:tcW w:w="1440" w:type="dxa"/>
          </w:tcPr>
          <w:p w:rsidR="00060C34" w:rsidRPr="00060C34" w:rsidRDefault="005C283C" w:rsidP="00C50B52">
            <w:pPr>
              <w:pStyle w:val="NoSpacing"/>
              <w:jc w:val="center"/>
              <w:rPr>
                <w:rFonts w:ascii="Verdana" w:hAnsi="Verdana"/>
                <w:b/>
                <w:sz w:val="24"/>
                <w:szCs w:val="24"/>
              </w:rPr>
            </w:pPr>
            <w:r>
              <w:rPr>
                <w:rFonts w:ascii="Verdana" w:hAnsi="Verdana"/>
                <w:b/>
                <w:sz w:val="24"/>
                <w:szCs w:val="24"/>
              </w:rPr>
              <w:t>20x5</w:t>
            </w:r>
          </w:p>
        </w:tc>
        <w:tc>
          <w:tcPr>
            <w:tcW w:w="1440" w:type="dxa"/>
          </w:tcPr>
          <w:p w:rsidR="00060C34" w:rsidRPr="00060C34" w:rsidRDefault="005C283C" w:rsidP="00C50B52">
            <w:pPr>
              <w:pStyle w:val="NoSpacing"/>
              <w:jc w:val="center"/>
              <w:rPr>
                <w:rFonts w:ascii="Verdana" w:hAnsi="Verdana"/>
                <w:b/>
                <w:sz w:val="24"/>
                <w:szCs w:val="24"/>
              </w:rPr>
            </w:pPr>
            <w:r>
              <w:rPr>
                <w:rFonts w:ascii="Verdana" w:hAnsi="Verdana"/>
                <w:b/>
                <w:sz w:val="24"/>
                <w:szCs w:val="24"/>
              </w:rPr>
              <w:t>20x4</w:t>
            </w:r>
          </w:p>
        </w:tc>
        <w:tc>
          <w:tcPr>
            <w:tcW w:w="1368" w:type="dxa"/>
          </w:tcPr>
          <w:p w:rsidR="00060C34" w:rsidRPr="00060C34" w:rsidRDefault="005C283C" w:rsidP="00C50B52">
            <w:pPr>
              <w:pStyle w:val="NoSpacing"/>
              <w:jc w:val="center"/>
              <w:rPr>
                <w:rFonts w:ascii="Verdana" w:hAnsi="Verdana"/>
                <w:b/>
                <w:sz w:val="24"/>
                <w:szCs w:val="24"/>
              </w:rPr>
            </w:pPr>
            <w:r>
              <w:rPr>
                <w:rFonts w:ascii="Verdana" w:hAnsi="Verdana"/>
                <w:b/>
                <w:sz w:val="24"/>
                <w:szCs w:val="24"/>
              </w:rPr>
              <w:t>20x3</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lastRenderedPageBreak/>
              <w:t>Sales</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3,784</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3,202</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2,760</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Cost of Goods Sold</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2,568</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2,172</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1,856</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Gross Profit</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1,216</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1,030</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904</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Selling &amp; Administrative</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550</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478</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406</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Depreciation</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247</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230</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200</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Earnings Before Interest and Taxes</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419</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322</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298</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Interest Expense</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20</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25</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14</w:t>
            </w:r>
          </w:p>
        </w:tc>
      </w:tr>
      <w:tr w:rsidR="00060C34" w:rsidTr="008273D3">
        <w:tc>
          <w:tcPr>
            <w:tcW w:w="5328" w:type="dxa"/>
          </w:tcPr>
          <w:p w:rsidR="00060C34" w:rsidRDefault="008273D3" w:rsidP="008273D3">
            <w:pPr>
              <w:pStyle w:val="NoSpacing"/>
              <w:rPr>
                <w:rFonts w:ascii="Verdana" w:hAnsi="Verdana"/>
                <w:sz w:val="24"/>
                <w:szCs w:val="24"/>
              </w:rPr>
            </w:pPr>
            <w:r>
              <w:rPr>
                <w:rFonts w:ascii="Verdana" w:hAnsi="Verdana"/>
                <w:sz w:val="24"/>
                <w:szCs w:val="24"/>
              </w:rPr>
              <w:t>Taxable Income</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399</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297</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284</w:t>
            </w:r>
          </w:p>
        </w:tc>
      </w:tr>
      <w:tr w:rsidR="00060C34" w:rsidTr="008273D3">
        <w:tc>
          <w:tcPr>
            <w:tcW w:w="5328" w:type="dxa"/>
          </w:tcPr>
          <w:p w:rsidR="00060C34" w:rsidRDefault="008273D3" w:rsidP="00060C34">
            <w:pPr>
              <w:pStyle w:val="NoSpacing"/>
              <w:rPr>
                <w:rFonts w:ascii="Verdana" w:hAnsi="Verdana"/>
                <w:sz w:val="24"/>
                <w:szCs w:val="24"/>
              </w:rPr>
            </w:pPr>
            <w:r>
              <w:rPr>
                <w:rFonts w:ascii="Verdana" w:hAnsi="Verdana"/>
                <w:sz w:val="24"/>
                <w:szCs w:val="24"/>
              </w:rPr>
              <w:t>Taxes</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120</w:t>
            </w:r>
          </w:p>
        </w:tc>
        <w:tc>
          <w:tcPr>
            <w:tcW w:w="1440" w:type="dxa"/>
          </w:tcPr>
          <w:p w:rsidR="00060C34" w:rsidRDefault="000A03ED" w:rsidP="008273D3">
            <w:pPr>
              <w:pStyle w:val="NoSpacing"/>
              <w:jc w:val="right"/>
              <w:rPr>
                <w:rFonts w:ascii="Verdana" w:hAnsi="Verdana"/>
                <w:sz w:val="24"/>
                <w:szCs w:val="24"/>
              </w:rPr>
            </w:pPr>
            <w:r>
              <w:rPr>
                <w:rFonts w:ascii="Verdana" w:hAnsi="Verdana"/>
                <w:sz w:val="24"/>
                <w:szCs w:val="24"/>
              </w:rPr>
              <w:t>89</w:t>
            </w:r>
          </w:p>
        </w:tc>
        <w:tc>
          <w:tcPr>
            <w:tcW w:w="1368" w:type="dxa"/>
          </w:tcPr>
          <w:p w:rsidR="00060C34" w:rsidRDefault="000A03ED" w:rsidP="008273D3">
            <w:pPr>
              <w:pStyle w:val="NoSpacing"/>
              <w:jc w:val="right"/>
              <w:rPr>
                <w:rFonts w:ascii="Verdana" w:hAnsi="Verdana"/>
                <w:sz w:val="24"/>
                <w:szCs w:val="24"/>
              </w:rPr>
            </w:pPr>
            <w:r>
              <w:rPr>
                <w:rFonts w:ascii="Verdana" w:hAnsi="Verdana"/>
                <w:sz w:val="24"/>
                <w:szCs w:val="24"/>
              </w:rPr>
              <w:t>85</w:t>
            </w:r>
          </w:p>
        </w:tc>
      </w:tr>
      <w:tr w:rsidR="008273D3" w:rsidTr="007B5DD1">
        <w:tc>
          <w:tcPr>
            <w:tcW w:w="5328" w:type="dxa"/>
          </w:tcPr>
          <w:p w:rsidR="008273D3" w:rsidRDefault="008273D3" w:rsidP="007B5DD1">
            <w:pPr>
              <w:pStyle w:val="NoSpacing"/>
              <w:rPr>
                <w:rFonts w:ascii="Verdana" w:hAnsi="Verdana"/>
                <w:sz w:val="24"/>
                <w:szCs w:val="24"/>
              </w:rPr>
            </w:pPr>
            <w:r>
              <w:rPr>
                <w:rFonts w:ascii="Verdana" w:hAnsi="Verdana"/>
                <w:sz w:val="24"/>
                <w:szCs w:val="24"/>
              </w:rPr>
              <w:t>Net Income</w:t>
            </w:r>
          </w:p>
        </w:tc>
        <w:tc>
          <w:tcPr>
            <w:tcW w:w="1440" w:type="dxa"/>
          </w:tcPr>
          <w:p w:rsidR="008273D3" w:rsidRDefault="000A03ED" w:rsidP="000A03ED">
            <w:pPr>
              <w:pStyle w:val="NoSpacing"/>
              <w:jc w:val="right"/>
              <w:rPr>
                <w:rFonts w:ascii="Verdana" w:hAnsi="Verdana"/>
                <w:sz w:val="24"/>
                <w:szCs w:val="24"/>
              </w:rPr>
            </w:pPr>
            <w:r>
              <w:rPr>
                <w:rFonts w:ascii="Verdana" w:hAnsi="Verdana"/>
                <w:sz w:val="24"/>
                <w:szCs w:val="24"/>
              </w:rPr>
              <w:t>279</w:t>
            </w:r>
          </w:p>
        </w:tc>
        <w:tc>
          <w:tcPr>
            <w:tcW w:w="1440" w:type="dxa"/>
          </w:tcPr>
          <w:p w:rsidR="008273D3" w:rsidRDefault="000A03ED" w:rsidP="007B5DD1">
            <w:pPr>
              <w:pStyle w:val="NoSpacing"/>
              <w:jc w:val="right"/>
              <w:rPr>
                <w:rFonts w:ascii="Verdana" w:hAnsi="Verdana"/>
                <w:sz w:val="24"/>
                <w:szCs w:val="24"/>
              </w:rPr>
            </w:pPr>
            <w:r>
              <w:rPr>
                <w:rFonts w:ascii="Verdana" w:hAnsi="Verdana"/>
                <w:sz w:val="24"/>
                <w:szCs w:val="24"/>
              </w:rPr>
              <w:t>208</w:t>
            </w:r>
          </w:p>
        </w:tc>
        <w:tc>
          <w:tcPr>
            <w:tcW w:w="1368" w:type="dxa"/>
          </w:tcPr>
          <w:p w:rsidR="008273D3" w:rsidRDefault="000A03ED" w:rsidP="007B5DD1">
            <w:pPr>
              <w:pStyle w:val="NoSpacing"/>
              <w:jc w:val="right"/>
              <w:rPr>
                <w:rFonts w:ascii="Verdana" w:hAnsi="Verdana"/>
                <w:sz w:val="24"/>
                <w:szCs w:val="24"/>
              </w:rPr>
            </w:pPr>
            <w:r>
              <w:rPr>
                <w:rFonts w:ascii="Verdana" w:hAnsi="Verdana"/>
                <w:sz w:val="24"/>
                <w:szCs w:val="24"/>
              </w:rPr>
              <w:t>199</w:t>
            </w:r>
          </w:p>
        </w:tc>
      </w:tr>
    </w:tbl>
    <w:p w:rsidR="00060C34" w:rsidRDefault="00060C34" w:rsidP="00060C34">
      <w:pPr>
        <w:pStyle w:val="NoSpacing"/>
        <w:rPr>
          <w:rFonts w:ascii="Verdana" w:hAnsi="Verdana"/>
          <w:sz w:val="24"/>
          <w:szCs w:val="24"/>
        </w:rPr>
      </w:pPr>
    </w:p>
    <w:p w:rsidR="008273D3" w:rsidRDefault="008273D3" w:rsidP="00060C34">
      <w:pPr>
        <w:pStyle w:val="NoSpacing"/>
        <w:rPr>
          <w:rFonts w:ascii="Verdana" w:hAnsi="Verdana"/>
          <w:sz w:val="24"/>
          <w:szCs w:val="24"/>
        </w:rPr>
      </w:pPr>
    </w:p>
    <w:p w:rsidR="008273D3" w:rsidRDefault="000A03ED" w:rsidP="008273D3">
      <w:pPr>
        <w:pStyle w:val="NoSpacing"/>
        <w:jc w:val="center"/>
        <w:rPr>
          <w:rFonts w:ascii="Verdana" w:hAnsi="Verdana"/>
          <w:sz w:val="24"/>
          <w:szCs w:val="24"/>
        </w:rPr>
      </w:pPr>
      <w:r>
        <w:rPr>
          <w:rFonts w:ascii="Verdana" w:hAnsi="Verdana"/>
          <w:sz w:val="24"/>
          <w:szCs w:val="24"/>
        </w:rPr>
        <w:t>Cranston Dispensers</w:t>
      </w:r>
    </w:p>
    <w:p w:rsidR="008273D3" w:rsidRDefault="008273D3" w:rsidP="008273D3">
      <w:pPr>
        <w:pStyle w:val="NoSpacing"/>
        <w:jc w:val="center"/>
        <w:rPr>
          <w:rFonts w:ascii="Verdana" w:hAnsi="Verdana"/>
          <w:sz w:val="24"/>
          <w:szCs w:val="24"/>
        </w:rPr>
      </w:pPr>
      <w:r>
        <w:rPr>
          <w:rFonts w:ascii="Verdana" w:hAnsi="Verdana"/>
          <w:sz w:val="24"/>
          <w:szCs w:val="24"/>
        </w:rPr>
        <w:t>Balance Sheet</w:t>
      </w:r>
    </w:p>
    <w:p w:rsidR="008273D3" w:rsidRDefault="008273D3" w:rsidP="008273D3">
      <w:pPr>
        <w:pStyle w:val="NoSpacing"/>
        <w:jc w:val="center"/>
        <w:rPr>
          <w:rFonts w:ascii="Verdana" w:hAnsi="Verdana"/>
          <w:sz w:val="24"/>
          <w:szCs w:val="24"/>
        </w:rPr>
      </w:pPr>
      <w:r>
        <w:rPr>
          <w:rFonts w:ascii="Verdana" w:hAnsi="Verdana"/>
          <w:sz w:val="24"/>
          <w:szCs w:val="24"/>
        </w:rPr>
        <w:t xml:space="preserve">($ in </w:t>
      </w:r>
      <w:r w:rsidR="000A03ED">
        <w:rPr>
          <w:rFonts w:ascii="Verdana" w:hAnsi="Verdana"/>
          <w:sz w:val="24"/>
          <w:szCs w:val="24"/>
        </w:rPr>
        <w:t>thousands</w:t>
      </w:r>
      <w:r>
        <w:rPr>
          <w:rFonts w:ascii="Verdana" w:hAnsi="Verdana"/>
          <w:sz w:val="24"/>
          <w:szCs w:val="24"/>
        </w:rPr>
        <w:t>)</w:t>
      </w:r>
    </w:p>
    <w:p w:rsidR="008273D3" w:rsidRDefault="008273D3" w:rsidP="008273D3">
      <w:pPr>
        <w:pStyle w:val="NoSpacing"/>
        <w:rPr>
          <w:rFonts w:ascii="Verdana" w:hAnsi="Verdana"/>
          <w:sz w:val="24"/>
          <w:szCs w:val="24"/>
        </w:rPr>
      </w:pPr>
    </w:p>
    <w:tbl>
      <w:tblPr>
        <w:tblStyle w:val="TableGrid"/>
        <w:tblW w:w="0" w:type="auto"/>
        <w:tblLook w:val="04A0" w:firstRow="1" w:lastRow="0" w:firstColumn="1" w:lastColumn="0" w:noHBand="0" w:noVBand="1"/>
      </w:tblPr>
      <w:tblGrid>
        <w:gridCol w:w="5328"/>
        <w:gridCol w:w="1440"/>
        <w:gridCol w:w="1440"/>
        <w:gridCol w:w="1368"/>
      </w:tblGrid>
      <w:tr w:rsidR="008273D3" w:rsidRPr="00060C34" w:rsidTr="007B5DD1">
        <w:tc>
          <w:tcPr>
            <w:tcW w:w="5328" w:type="dxa"/>
          </w:tcPr>
          <w:p w:rsidR="008273D3" w:rsidRPr="00060C34" w:rsidRDefault="008273D3" w:rsidP="007B5DD1">
            <w:pPr>
              <w:pStyle w:val="NoSpacing"/>
              <w:jc w:val="center"/>
              <w:rPr>
                <w:rFonts w:ascii="Verdana" w:hAnsi="Verdana"/>
                <w:b/>
                <w:sz w:val="24"/>
                <w:szCs w:val="24"/>
              </w:rPr>
            </w:pPr>
            <w:r>
              <w:rPr>
                <w:rFonts w:ascii="Verdana" w:hAnsi="Verdana"/>
                <w:b/>
                <w:sz w:val="24"/>
                <w:szCs w:val="24"/>
              </w:rPr>
              <w:t>Account</w:t>
            </w:r>
          </w:p>
        </w:tc>
        <w:tc>
          <w:tcPr>
            <w:tcW w:w="1440" w:type="dxa"/>
          </w:tcPr>
          <w:p w:rsidR="008273D3" w:rsidRPr="00060C34" w:rsidRDefault="005C283C" w:rsidP="00C50B52">
            <w:pPr>
              <w:pStyle w:val="NoSpacing"/>
              <w:jc w:val="center"/>
              <w:rPr>
                <w:rFonts w:ascii="Verdana" w:hAnsi="Verdana"/>
                <w:b/>
                <w:sz w:val="24"/>
                <w:szCs w:val="24"/>
              </w:rPr>
            </w:pPr>
            <w:r>
              <w:rPr>
                <w:rFonts w:ascii="Verdana" w:hAnsi="Verdana"/>
                <w:b/>
                <w:sz w:val="24"/>
                <w:szCs w:val="24"/>
              </w:rPr>
              <w:t>20x5</w:t>
            </w:r>
          </w:p>
        </w:tc>
        <w:tc>
          <w:tcPr>
            <w:tcW w:w="1440" w:type="dxa"/>
          </w:tcPr>
          <w:p w:rsidR="008273D3" w:rsidRPr="00060C34" w:rsidRDefault="005C283C" w:rsidP="00C50B52">
            <w:pPr>
              <w:pStyle w:val="NoSpacing"/>
              <w:jc w:val="center"/>
              <w:rPr>
                <w:rFonts w:ascii="Verdana" w:hAnsi="Verdana"/>
                <w:b/>
                <w:sz w:val="24"/>
                <w:szCs w:val="24"/>
              </w:rPr>
            </w:pPr>
            <w:r>
              <w:rPr>
                <w:rFonts w:ascii="Verdana" w:hAnsi="Verdana"/>
                <w:b/>
                <w:sz w:val="24"/>
                <w:szCs w:val="24"/>
              </w:rPr>
              <w:t>20x4</w:t>
            </w:r>
          </w:p>
        </w:tc>
        <w:tc>
          <w:tcPr>
            <w:tcW w:w="1368" w:type="dxa"/>
          </w:tcPr>
          <w:p w:rsidR="008273D3" w:rsidRPr="00060C34" w:rsidRDefault="005C283C" w:rsidP="00C50B52">
            <w:pPr>
              <w:pStyle w:val="NoSpacing"/>
              <w:jc w:val="center"/>
              <w:rPr>
                <w:rFonts w:ascii="Verdana" w:hAnsi="Verdana"/>
                <w:b/>
                <w:sz w:val="24"/>
                <w:szCs w:val="24"/>
              </w:rPr>
            </w:pPr>
            <w:r>
              <w:rPr>
                <w:rFonts w:ascii="Verdana" w:hAnsi="Verdana"/>
                <w:b/>
                <w:sz w:val="24"/>
                <w:szCs w:val="24"/>
              </w:rPr>
              <w:t>20x3</w:t>
            </w:r>
          </w:p>
        </w:tc>
      </w:tr>
      <w:tr w:rsidR="008273D3" w:rsidTr="007B5DD1">
        <w:tc>
          <w:tcPr>
            <w:tcW w:w="5328" w:type="dxa"/>
          </w:tcPr>
          <w:p w:rsidR="008273D3" w:rsidRDefault="008273D3" w:rsidP="007B5DD1">
            <w:pPr>
              <w:pStyle w:val="NoSpacing"/>
              <w:rPr>
                <w:rFonts w:ascii="Verdana" w:hAnsi="Verdana"/>
                <w:sz w:val="24"/>
                <w:szCs w:val="24"/>
              </w:rPr>
            </w:pPr>
            <w:r>
              <w:rPr>
                <w:rFonts w:ascii="Verdana" w:hAnsi="Verdana"/>
                <w:sz w:val="24"/>
                <w:szCs w:val="24"/>
              </w:rPr>
              <w:t>Current Assets</w:t>
            </w:r>
          </w:p>
        </w:tc>
        <w:tc>
          <w:tcPr>
            <w:tcW w:w="1440" w:type="dxa"/>
          </w:tcPr>
          <w:p w:rsidR="008273D3" w:rsidRDefault="008273D3" w:rsidP="007B5DD1">
            <w:pPr>
              <w:pStyle w:val="NoSpacing"/>
              <w:jc w:val="right"/>
              <w:rPr>
                <w:rFonts w:ascii="Verdana" w:hAnsi="Verdana"/>
                <w:sz w:val="24"/>
                <w:szCs w:val="24"/>
              </w:rPr>
            </w:pPr>
          </w:p>
        </w:tc>
        <w:tc>
          <w:tcPr>
            <w:tcW w:w="1440" w:type="dxa"/>
          </w:tcPr>
          <w:p w:rsidR="008273D3" w:rsidRDefault="008273D3" w:rsidP="007B5DD1">
            <w:pPr>
              <w:pStyle w:val="NoSpacing"/>
              <w:jc w:val="right"/>
              <w:rPr>
                <w:rFonts w:ascii="Verdana" w:hAnsi="Verdana"/>
                <w:sz w:val="24"/>
                <w:szCs w:val="24"/>
              </w:rPr>
            </w:pPr>
          </w:p>
        </w:tc>
        <w:tc>
          <w:tcPr>
            <w:tcW w:w="1368" w:type="dxa"/>
          </w:tcPr>
          <w:p w:rsidR="008273D3" w:rsidRDefault="008273D3" w:rsidP="007B5DD1">
            <w:pPr>
              <w:pStyle w:val="NoSpacing"/>
              <w:jc w:val="right"/>
              <w:rPr>
                <w:rFonts w:ascii="Verdana" w:hAnsi="Verdana"/>
                <w:sz w:val="24"/>
                <w:szCs w:val="24"/>
              </w:rPr>
            </w:pPr>
          </w:p>
        </w:tc>
      </w:tr>
      <w:tr w:rsidR="008273D3" w:rsidTr="007B5DD1">
        <w:tc>
          <w:tcPr>
            <w:tcW w:w="5328" w:type="dxa"/>
          </w:tcPr>
          <w:p w:rsidR="008273D3" w:rsidRDefault="008273D3" w:rsidP="007B5DD1">
            <w:pPr>
              <w:pStyle w:val="NoSpacing"/>
              <w:rPr>
                <w:rFonts w:ascii="Verdana" w:hAnsi="Verdana"/>
                <w:sz w:val="24"/>
                <w:szCs w:val="24"/>
              </w:rPr>
            </w:pPr>
            <w:r>
              <w:rPr>
                <w:rFonts w:ascii="Verdana" w:hAnsi="Verdana"/>
                <w:sz w:val="24"/>
                <w:szCs w:val="24"/>
              </w:rPr>
              <w:t xml:space="preserve">   Cash</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341</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276</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236</w:t>
            </w:r>
          </w:p>
        </w:tc>
      </w:tr>
      <w:tr w:rsidR="008273D3" w:rsidTr="007B5DD1">
        <w:tc>
          <w:tcPr>
            <w:tcW w:w="5328" w:type="dxa"/>
          </w:tcPr>
          <w:p w:rsidR="008273D3" w:rsidRDefault="008273D3" w:rsidP="007B5DD1">
            <w:pPr>
              <w:pStyle w:val="NoSpacing"/>
              <w:rPr>
                <w:rFonts w:ascii="Verdana" w:hAnsi="Verdana"/>
                <w:sz w:val="24"/>
                <w:szCs w:val="24"/>
              </w:rPr>
            </w:pPr>
            <w:r>
              <w:rPr>
                <w:rFonts w:ascii="Verdana" w:hAnsi="Verdana"/>
                <w:sz w:val="24"/>
                <w:szCs w:val="24"/>
              </w:rPr>
              <w:t xml:space="preserve">   Accounts Receivable</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722</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642</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320</w:t>
            </w: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 xml:space="preserve">   Inventory</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595</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512</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388</w:t>
            </w: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Total Current Assets</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1,658</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1,430</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944</w:t>
            </w: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Net Fixed Assets</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1,822</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1,691</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1,572</w:t>
            </w: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Total Assets</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3,480</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3,121</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2,516</w:t>
            </w: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Current Liabilities</w:t>
            </w:r>
          </w:p>
        </w:tc>
        <w:tc>
          <w:tcPr>
            <w:tcW w:w="1440" w:type="dxa"/>
          </w:tcPr>
          <w:p w:rsidR="008273D3" w:rsidRDefault="008273D3" w:rsidP="007B5DD1">
            <w:pPr>
              <w:pStyle w:val="NoSpacing"/>
              <w:jc w:val="right"/>
              <w:rPr>
                <w:rFonts w:ascii="Verdana" w:hAnsi="Verdana"/>
                <w:sz w:val="24"/>
                <w:szCs w:val="24"/>
              </w:rPr>
            </w:pPr>
          </w:p>
        </w:tc>
        <w:tc>
          <w:tcPr>
            <w:tcW w:w="1440" w:type="dxa"/>
          </w:tcPr>
          <w:p w:rsidR="008273D3" w:rsidRDefault="008273D3" w:rsidP="007B5DD1">
            <w:pPr>
              <w:pStyle w:val="NoSpacing"/>
              <w:jc w:val="right"/>
              <w:rPr>
                <w:rFonts w:ascii="Verdana" w:hAnsi="Verdana"/>
                <w:sz w:val="24"/>
                <w:szCs w:val="24"/>
              </w:rPr>
            </w:pPr>
          </w:p>
        </w:tc>
        <w:tc>
          <w:tcPr>
            <w:tcW w:w="1368" w:type="dxa"/>
          </w:tcPr>
          <w:p w:rsidR="008273D3" w:rsidRDefault="008273D3" w:rsidP="007B5DD1">
            <w:pPr>
              <w:pStyle w:val="NoSpacing"/>
              <w:jc w:val="right"/>
              <w:rPr>
                <w:rFonts w:ascii="Verdana" w:hAnsi="Verdana"/>
                <w:sz w:val="24"/>
                <w:szCs w:val="24"/>
              </w:rPr>
            </w:pPr>
          </w:p>
        </w:tc>
      </w:tr>
      <w:tr w:rsidR="008273D3" w:rsidTr="007B5DD1">
        <w:tc>
          <w:tcPr>
            <w:tcW w:w="5328" w:type="dxa"/>
          </w:tcPr>
          <w:p w:rsidR="008273D3" w:rsidRDefault="00911A85" w:rsidP="007B5DD1">
            <w:pPr>
              <w:pStyle w:val="NoSpacing"/>
              <w:rPr>
                <w:rFonts w:ascii="Verdana" w:hAnsi="Verdana"/>
                <w:sz w:val="24"/>
                <w:szCs w:val="24"/>
              </w:rPr>
            </w:pPr>
            <w:r>
              <w:rPr>
                <w:rFonts w:ascii="Verdana" w:hAnsi="Verdana"/>
                <w:sz w:val="24"/>
                <w:szCs w:val="24"/>
              </w:rPr>
              <w:t xml:space="preserve">   Accounts Payable</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332</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288</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204</w:t>
            </w:r>
          </w:p>
        </w:tc>
      </w:tr>
      <w:tr w:rsidR="00667F60" w:rsidTr="00667F60">
        <w:tc>
          <w:tcPr>
            <w:tcW w:w="5328" w:type="dxa"/>
          </w:tcPr>
          <w:p w:rsidR="00667F60" w:rsidRDefault="00667F60" w:rsidP="00667F60">
            <w:pPr>
              <w:pStyle w:val="NoSpacing"/>
              <w:rPr>
                <w:rFonts w:ascii="Verdana" w:hAnsi="Verdana"/>
                <w:sz w:val="24"/>
                <w:szCs w:val="24"/>
              </w:rPr>
            </w:pPr>
            <w:r>
              <w:rPr>
                <w:rFonts w:ascii="Verdana" w:hAnsi="Verdana"/>
                <w:sz w:val="24"/>
                <w:szCs w:val="24"/>
              </w:rPr>
              <w:t xml:space="preserve">   Accrued Expenses</w:t>
            </w:r>
          </w:p>
        </w:tc>
        <w:tc>
          <w:tcPr>
            <w:tcW w:w="1440" w:type="dxa"/>
          </w:tcPr>
          <w:p w:rsidR="00667F60" w:rsidRDefault="00667F60" w:rsidP="00667F60">
            <w:pPr>
              <w:pStyle w:val="NoSpacing"/>
              <w:jc w:val="right"/>
              <w:rPr>
                <w:rFonts w:ascii="Verdana" w:hAnsi="Verdana"/>
                <w:sz w:val="24"/>
                <w:szCs w:val="24"/>
              </w:rPr>
            </w:pPr>
            <w:r>
              <w:rPr>
                <w:rFonts w:ascii="Verdana" w:hAnsi="Verdana"/>
                <w:sz w:val="24"/>
                <w:szCs w:val="24"/>
              </w:rPr>
              <w:t>343</w:t>
            </w:r>
          </w:p>
        </w:tc>
        <w:tc>
          <w:tcPr>
            <w:tcW w:w="1440" w:type="dxa"/>
          </w:tcPr>
          <w:p w:rsidR="00667F60" w:rsidRDefault="00667F60" w:rsidP="00667F60">
            <w:pPr>
              <w:pStyle w:val="NoSpacing"/>
              <w:jc w:val="right"/>
              <w:rPr>
                <w:rFonts w:ascii="Verdana" w:hAnsi="Verdana"/>
                <w:sz w:val="24"/>
                <w:szCs w:val="24"/>
              </w:rPr>
            </w:pPr>
            <w:r>
              <w:rPr>
                <w:rFonts w:ascii="Verdana" w:hAnsi="Verdana"/>
                <w:sz w:val="24"/>
                <w:szCs w:val="24"/>
              </w:rPr>
              <w:t>335</w:t>
            </w:r>
          </w:p>
        </w:tc>
        <w:tc>
          <w:tcPr>
            <w:tcW w:w="1368" w:type="dxa"/>
          </w:tcPr>
          <w:p w:rsidR="00667F60" w:rsidRDefault="00667F60" w:rsidP="00667F60">
            <w:pPr>
              <w:pStyle w:val="NoSpacing"/>
              <w:jc w:val="right"/>
              <w:rPr>
                <w:rFonts w:ascii="Verdana" w:hAnsi="Verdana"/>
                <w:sz w:val="24"/>
                <w:szCs w:val="24"/>
              </w:rPr>
            </w:pPr>
            <w:r>
              <w:rPr>
                <w:rFonts w:ascii="Verdana" w:hAnsi="Verdana"/>
                <w:sz w:val="24"/>
                <w:szCs w:val="24"/>
              </w:rPr>
              <w:t>192</w:t>
            </w:r>
          </w:p>
        </w:tc>
      </w:tr>
      <w:tr w:rsidR="008273D3" w:rsidTr="007B5DD1">
        <w:tc>
          <w:tcPr>
            <w:tcW w:w="5328" w:type="dxa"/>
          </w:tcPr>
          <w:p w:rsidR="008273D3" w:rsidRDefault="00911A85" w:rsidP="00911A85">
            <w:pPr>
              <w:pStyle w:val="NoSpacing"/>
              <w:rPr>
                <w:rFonts w:ascii="Verdana" w:hAnsi="Verdana"/>
                <w:sz w:val="24"/>
                <w:szCs w:val="24"/>
              </w:rPr>
            </w:pPr>
            <w:r>
              <w:rPr>
                <w:rFonts w:ascii="Verdana" w:hAnsi="Verdana"/>
                <w:sz w:val="24"/>
                <w:szCs w:val="24"/>
              </w:rPr>
              <w:t xml:space="preserve">   Short-term Notes</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503</w:t>
            </w:r>
          </w:p>
        </w:tc>
        <w:tc>
          <w:tcPr>
            <w:tcW w:w="1440" w:type="dxa"/>
          </w:tcPr>
          <w:p w:rsidR="008273D3" w:rsidRDefault="00667F60" w:rsidP="007B5DD1">
            <w:pPr>
              <w:pStyle w:val="NoSpacing"/>
              <w:jc w:val="right"/>
              <w:rPr>
                <w:rFonts w:ascii="Verdana" w:hAnsi="Verdana"/>
                <w:sz w:val="24"/>
                <w:szCs w:val="24"/>
              </w:rPr>
            </w:pPr>
            <w:r>
              <w:rPr>
                <w:rFonts w:ascii="Verdana" w:hAnsi="Verdana"/>
                <w:sz w:val="24"/>
                <w:szCs w:val="24"/>
              </w:rPr>
              <w:t>491</w:t>
            </w:r>
          </w:p>
        </w:tc>
        <w:tc>
          <w:tcPr>
            <w:tcW w:w="1368" w:type="dxa"/>
          </w:tcPr>
          <w:p w:rsidR="008273D3" w:rsidRDefault="00667F60" w:rsidP="007B5DD1">
            <w:pPr>
              <w:pStyle w:val="NoSpacing"/>
              <w:jc w:val="right"/>
              <w:rPr>
                <w:rFonts w:ascii="Verdana" w:hAnsi="Verdana"/>
                <w:sz w:val="24"/>
                <w:szCs w:val="24"/>
              </w:rPr>
            </w:pPr>
            <w:r>
              <w:rPr>
                <w:rFonts w:ascii="Verdana" w:hAnsi="Verdana"/>
                <w:sz w:val="24"/>
                <w:szCs w:val="24"/>
              </w:rPr>
              <w:t>243</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Total Current Liabilities</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1,178</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1,114</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639</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Long-term Debt</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398</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324</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289</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Other Long-term Liabilities</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239</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154</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147</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Total Liabilities</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1,815</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1,592</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1,075</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Owners’ Equity</w:t>
            </w:r>
          </w:p>
        </w:tc>
        <w:tc>
          <w:tcPr>
            <w:tcW w:w="1440" w:type="dxa"/>
          </w:tcPr>
          <w:p w:rsidR="00911A85" w:rsidRDefault="00911A85" w:rsidP="007B5DD1">
            <w:pPr>
              <w:pStyle w:val="NoSpacing"/>
              <w:jc w:val="right"/>
              <w:rPr>
                <w:rFonts w:ascii="Verdana" w:hAnsi="Verdana"/>
                <w:sz w:val="24"/>
                <w:szCs w:val="24"/>
              </w:rPr>
            </w:pPr>
          </w:p>
        </w:tc>
        <w:tc>
          <w:tcPr>
            <w:tcW w:w="1440" w:type="dxa"/>
          </w:tcPr>
          <w:p w:rsidR="00911A85" w:rsidRDefault="00911A85" w:rsidP="007B5DD1">
            <w:pPr>
              <w:pStyle w:val="NoSpacing"/>
              <w:jc w:val="right"/>
              <w:rPr>
                <w:rFonts w:ascii="Verdana" w:hAnsi="Verdana"/>
                <w:sz w:val="24"/>
                <w:szCs w:val="24"/>
              </w:rPr>
            </w:pPr>
          </w:p>
        </w:tc>
        <w:tc>
          <w:tcPr>
            <w:tcW w:w="1368" w:type="dxa"/>
          </w:tcPr>
          <w:p w:rsidR="00911A85" w:rsidRDefault="00911A85" w:rsidP="007B5DD1">
            <w:pPr>
              <w:pStyle w:val="NoSpacing"/>
              <w:jc w:val="right"/>
              <w:rPr>
                <w:rFonts w:ascii="Verdana" w:hAnsi="Verdana"/>
                <w:sz w:val="24"/>
                <w:szCs w:val="24"/>
              </w:rPr>
            </w:pPr>
          </w:p>
        </w:tc>
      </w:tr>
      <w:tr w:rsidR="00911A85" w:rsidTr="007B5DD1">
        <w:tc>
          <w:tcPr>
            <w:tcW w:w="5328" w:type="dxa"/>
          </w:tcPr>
          <w:p w:rsidR="00911A85" w:rsidRDefault="00911A85" w:rsidP="00667F60">
            <w:pPr>
              <w:pStyle w:val="NoSpacing"/>
              <w:rPr>
                <w:rFonts w:ascii="Verdana" w:hAnsi="Verdana"/>
                <w:sz w:val="24"/>
                <w:szCs w:val="24"/>
              </w:rPr>
            </w:pPr>
            <w:r>
              <w:rPr>
                <w:rFonts w:ascii="Verdana" w:hAnsi="Verdana"/>
                <w:sz w:val="24"/>
                <w:szCs w:val="24"/>
              </w:rPr>
              <w:t xml:space="preserve">Common </w:t>
            </w:r>
            <w:r w:rsidR="00667F60">
              <w:rPr>
                <w:rFonts w:ascii="Verdana" w:hAnsi="Verdana"/>
                <w:sz w:val="24"/>
                <w:szCs w:val="24"/>
              </w:rPr>
              <w:t>Equity</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1,665</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1,529</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1,441</w:t>
            </w:r>
          </w:p>
        </w:tc>
      </w:tr>
      <w:tr w:rsidR="00911A85" w:rsidTr="007B5DD1">
        <w:tc>
          <w:tcPr>
            <w:tcW w:w="5328" w:type="dxa"/>
          </w:tcPr>
          <w:p w:rsidR="00911A85" w:rsidRDefault="00911A85" w:rsidP="00911A85">
            <w:pPr>
              <w:pStyle w:val="NoSpacing"/>
              <w:rPr>
                <w:rFonts w:ascii="Verdana" w:hAnsi="Verdana"/>
                <w:sz w:val="24"/>
                <w:szCs w:val="24"/>
              </w:rPr>
            </w:pPr>
            <w:r>
              <w:rPr>
                <w:rFonts w:ascii="Verdana" w:hAnsi="Verdana"/>
                <w:sz w:val="24"/>
                <w:szCs w:val="24"/>
              </w:rPr>
              <w:t>Total Liabilities &amp; Equity</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3,480</w:t>
            </w:r>
          </w:p>
        </w:tc>
        <w:tc>
          <w:tcPr>
            <w:tcW w:w="1440" w:type="dxa"/>
          </w:tcPr>
          <w:p w:rsidR="00911A85" w:rsidRDefault="00667F60" w:rsidP="007B5DD1">
            <w:pPr>
              <w:pStyle w:val="NoSpacing"/>
              <w:jc w:val="right"/>
              <w:rPr>
                <w:rFonts w:ascii="Verdana" w:hAnsi="Verdana"/>
                <w:sz w:val="24"/>
                <w:szCs w:val="24"/>
              </w:rPr>
            </w:pPr>
            <w:r>
              <w:rPr>
                <w:rFonts w:ascii="Verdana" w:hAnsi="Verdana"/>
                <w:sz w:val="24"/>
                <w:szCs w:val="24"/>
              </w:rPr>
              <w:t>3,121</w:t>
            </w:r>
          </w:p>
        </w:tc>
        <w:tc>
          <w:tcPr>
            <w:tcW w:w="1368" w:type="dxa"/>
          </w:tcPr>
          <w:p w:rsidR="00911A85" w:rsidRDefault="00667F60" w:rsidP="007B5DD1">
            <w:pPr>
              <w:pStyle w:val="NoSpacing"/>
              <w:jc w:val="right"/>
              <w:rPr>
                <w:rFonts w:ascii="Verdana" w:hAnsi="Verdana"/>
                <w:sz w:val="24"/>
                <w:szCs w:val="24"/>
              </w:rPr>
            </w:pPr>
            <w:r>
              <w:rPr>
                <w:rFonts w:ascii="Verdana" w:hAnsi="Verdana"/>
                <w:sz w:val="24"/>
                <w:szCs w:val="24"/>
              </w:rPr>
              <w:t>2,516</w:t>
            </w:r>
          </w:p>
        </w:tc>
      </w:tr>
    </w:tbl>
    <w:p w:rsidR="008273D3" w:rsidRPr="00060C34" w:rsidRDefault="008273D3" w:rsidP="008273D3">
      <w:pPr>
        <w:pStyle w:val="NoSpacing"/>
        <w:rPr>
          <w:rFonts w:ascii="Verdana" w:hAnsi="Verdana"/>
          <w:sz w:val="24"/>
          <w:szCs w:val="24"/>
        </w:rPr>
      </w:pPr>
    </w:p>
    <w:p w:rsidR="008273D3" w:rsidRPr="00935ECB" w:rsidRDefault="00911A85" w:rsidP="00060C34">
      <w:pPr>
        <w:pStyle w:val="NoSpacing"/>
        <w:rPr>
          <w:rFonts w:ascii="Verdana" w:hAnsi="Verdana"/>
          <w:b/>
          <w:sz w:val="24"/>
          <w:szCs w:val="24"/>
        </w:rPr>
      </w:pPr>
      <w:r w:rsidRPr="00935ECB">
        <w:rPr>
          <w:rFonts w:ascii="Verdana" w:hAnsi="Verdana"/>
          <w:b/>
          <w:sz w:val="24"/>
          <w:szCs w:val="24"/>
        </w:rPr>
        <w:t>Required:</w:t>
      </w:r>
    </w:p>
    <w:p w:rsidR="00911A85" w:rsidRDefault="00911A85" w:rsidP="00060C34">
      <w:pPr>
        <w:pStyle w:val="NoSpacing"/>
        <w:rPr>
          <w:rFonts w:ascii="Verdana" w:hAnsi="Verdana"/>
          <w:sz w:val="24"/>
          <w:szCs w:val="24"/>
        </w:rPr>
      </w:pPr>
    </w:p>
    <w:p w:rsidR="009D7661" w:rsidRDefault="00667F60" w:rsidP="00911A85">
      <w:pPr>
        <w:pStyle w:val="NoSpacing"/>
        <w:numPr>
          <w:ilvl w:val="0"/>
          <w:numId w:val="1"/>
        </w:numPr>
        <w:rPr>
          <w:rFonts w:ascii="Verdana" w:hAnsi="Verdana"/>
          <w:sz w:val="24"/>
          <w:szCs w:val="24"/>
        </w:rPr>
      </w:pPr>
      <w:r>
        <w:rPr>
          <w:rFonts w:ascii="Verdana" w:hAnsi="Verdana"/>
          <w:sz w:val="24"/>
          <w:szCs w:val="24"/>
        </w:rPr>
        <w:t xml:space="preserve">Determine Cranston’s average production cycles for </w:t>
      </w:r>
      <w:r w:rsidR="005C283C">
        <w:rPr>
          <w:rFonts w:ascii="Verdana" w:hAnsi="Verdana"/>
          <w:sz w:val="24"/>
          <w:szCs w:val="24"/>
        </w:rPr>
        <w:t>20x4</w:t>
      </w:r>
      <w:r>
        <w:rPr>
          <w:rFonts w:ascii="Verdana" w:hAnsi="Verdana"/>
          <w:sz w:val="24"/>
          <w:szCs w:val="24"/>
        </w:rPr>
        <w:t xml:space="preserve"> and for</w:t>
      </w:r>
      <w:r w:rsidR="005C283C">
        <w:rPr>
          <w:rFonts w:ascii="Verdana" w:hAnsi="Verdana"/>
          <w:sz w:val="24"/>
          <w:szCs w:val="24"/>
        </w:rPr>
        <w:t>20x5</w:t>
      </w:r>
      <w:r>
        <w:rPr>
          <w:rFonts w:ascii="Verdana" w:hAnsi="Verdana"/>
          <w:sz w:val="24"/>
          <w:szCs w:val="24"/>
        </w:rPr>
        <w:t>.</w:t>
      </w:r>
    </w:p>
    <w:p w:rsidR="009D7661" w:rsidRDefault="009D7661" w:rsidP="009D7661">
      <w:pPr>
        <w:pStyle w:val="NoSpacing"/>
        <w:rPr>
          <w:rFonts w:ascii="Verdana" w:hAnsi="Verdana"/>
          <w:sz w:val="24"/>
          <w:szCs w:val="24"/>
        </w:rPr>
      </w:pPr>
    </w:p>
    <w:p w:rsidR="009D7661" w:rsidRDefault="00667F60" w:rsidP="00911A85">
      <w:pPr>
        <w:pStyle w:val="NoSpacing"/>
        <w:numPr>
          <w:ilvl w:val="0"/>
          <w:numId w:val="1"/>
        </w:numPr>
        <w:rPr>
          <w:rFonts w:ascii="Verdana" w:hAnsi="Verdana"/>
          <w:sz w:val="24"/>
          <w:szCs w:val="24"/>
        </w:rPr>
      </w:pPr>
      <w:r>
        <w:rPr>
          <w:rFonts w:ascii="Verdana" w:hAnsi="Verdana"/>
          <w:sz w:val="24"/>
          <w:szCs w:val="24"/>
        </w:rPr>
        <w:t xml:space="preserve">Determine Cranston’s average collection cycles for </w:t>
      </w:r>
      <w:r w:rsidR="005C283C">
        <w:rPr>
          <w:rFonts w:ascii="Verdana" w:hAnsi="Verdana"/>
          <w:sz w:val="24"/>
          <w:szCs w:val="24"/>
        </w:rPr>
        <w:t>20x4</w:t>
      </w:r>
      <w:r>
        <w:rPr>
          <w:rFonts w:ascii="Verdana" w:hAnsi="Verdana"/>
          <w:sz w:val="24"/>
          <w:szCs w:val="24"/>
        </w:rPr>
        <w:t xml:space="preserve"> and for </w:t>
      </w:r>
      <w:r w:rsidR="005C283C">
        <w:rPr>
          <w:rFonts w:ascii="Verdana" w:hAnsi="Verdana"/>
          <w:sz w:val="24"/>
          <w:szCs w:val="24"/>
        </w:rPr>
        <w:t>20x5</w:t>
      </w:r>
      <w:r>
        <w:rPr>
          <w:rFonts w:ascii="Verdana" w:hAnsi="Verdana"/>
          <w:sz w:val="24"/>
          <w:szCs w:val="24"/>
        </w:rPr>
        <w:t>.  Assume that all sales are credit sales.</w:t>
      </w:r>
    </w:p>
    <w:p w:rsidR="009D7661" w:rsidRDefault="009D7661" w:rsidP="009D7661">
      <w:pPr>
        <w:pStyle w:val="ListParagraph"/>
        <w:rPr>
          <w:rFonts w:ascii="Verdana" w:hAnsi="Verdana"/>
          <w:sz w:val="24"/>
          <w:szCs w:val="24"/>
        </w:rPr>
      </w:pPr>
    </w:p>
    <w:p w:rsidR="009D7661" w:rsidRDefault="00667F60" w:rsidP="00911A85">
      <w:pPr>
        <w:pStyle w:val="NoSpacing"/>
        <w:numPr>
          <w:ilvl w:val="0"/>
          <w:numId w:val="1"/>
        </w:numPr>
        <w:rPr>
          <w:rFonts w:ascii="Verdana" w:hAnsi="Verdana"/>
          <w:sz w:val="24"/>
          <w:szCs w:val="24"/>
        </w:rPr>
      </w:pPr>
      <w:r>
        <w:rPr>
          <w:rFonts w:ascii="Verdana" w:hAnsi="Verdana"/>
          <w:sz w:val="24"/>
          <w:szCs w:val="24"/>
        </w:rPr>
        <w:lastRenderedPageBreak/>
        <w:t xml:space="preserve">Determine Cranston’s average payment cycles for </w:t>
      </w:r>
      <w:r w:rsidR="005C283C">
        <w:rPr>
          <w:rFonts w:ascii="Verdana" w:hAnsi="Verdana"/>
          <w:sz w:val="24"/>
          <w:szCs w:val="24"/>
        </w:rPr>
        <w:t>20x4</w:t>
      </w:r>
      <w:r>
        <w:rPr>
          <w:rFonts w:ascii="Verdana" w:hAnsi="Verdana"/>
          <w:sz w:val="24"/>
          <w:szCs w:val="24"/>
        </w:rPr>
        <w:t xml:space="preserve"> and for </w:t>
      </w:r>
      <w:r w:rsidR="005C283C">
        <w:rPr>
          <w:rFonts w:ascii="Verdana" w:hAnsi="Verdana"/>
          <w:sz w:val="24"/>
          <w:szCs w:val="24"/>
        </w:rPr>
        <w:t>20x5</w:t>
      </w:r>
      <w:r>
        <w:rPr>
          <w:rFonts w:ascii="Verdana" w:hAnsi="Verdana"/>
          <w:sz w:val="24"/>
          <w:szCs w:val="24"/>
        </w:rPr>
        <w:t>.</w:t>
      </w:r>
    </w:p>
    <w:p w:rsidR="009D7661" w:rsidRDefault="009D7661" w:rsidP="009D7661">
      <w:pPr>
        <w:pStyle w:val="ListParagraph"/>
        <w:rPr>
          <w:rFonts w:ascii="Verdana" w:hAnsi="Verdana"/>
          <w:sz w:val="24"/>
          <w:szCs w:val="24"/>
        </w:rPr>
      </w:pPr>
    </w:p>
    <w:p w:rsidR="009D7661" w:rsidRDefault="00667F60" w:rsidP="00911A85">
      <w:pPr>
        <w:pStyle w:val="NoSpacing"/>
        <w:numPr>
          <w:ilvl w:val="0"/>
          <w:numId w:val="1"/>
        </w:numPr>
        <w:rPr>
          <w:rFonts w:ascii="Verdana" w:hAnsi="Verdana"/>
          <w:sz w:val="24"/>
          <w:szCs w:val="24"/>
        </w:rPr>
      </w:pPr>
      <w:r>
        <w:rPr>
          <w:rFonts w:ascii="Verdana" w:hAnsi="Verdana"/>
          <w:sz w:val="24"/>
          <w:szCs w:val="24"/>
        </w:rPr>
        <w:t xml:space="preserve">Using your answers to questions 1 through 3, determine Cranston’s cash conversion cycles for </w:t>
      </w:r>
      <w:r w:rsidR="005C283C">
        <w:rPr>
          <w:rFonts w:ascii="Verdana" w:hAnsi="Verdana"/>
          <w:sz w:val="24"/>
          <w:szCs w:val="24"/>
        </w:rPr>
        <w:t>20x4</w:t>
      </w:r>
      <w:r>
        <w:rPr>
          <w:rFonts w:ascii="Verdana" w:hAnsi="Verdana"/>
          <w:sz w:val="24"/>
          <w:szCs w:val="24"/>
        </w:rPr>
        <w:t xml:space="preserve"> and for </w:t>
      </w:r>
      <w:r w:rsidR="005C283C">
        <w:rPr>
          <w:rFonts w:ascii="Verdana" w:hAnsi="Verdana"/>
          <w:sz w:val="24"/>
          <w:szCs w:val="24"/>
        </w:rPr>
        <w:t>20x5</w:t>
      </w:r>
      <w:r>
        <w:rPr>
          <w:rFonts w:ascii="Verdana" w:hAnsi="Verdana"/>
          <w:sz w:val="24"/>
          <w:szCs w:val="24"/>
        </w:rPr>
        <w:t>.</w:t>
      </w:r>
    </w:p>
    <w:p w:rsidR="009D7661" w:rsidRDefault="009D7661" w:rsidP="009D7661">
      <w:pPr>
        <w:pStyle w:val="ListParagraph"/>
        <w:rPr>
          <w:rFonts w:ascii="Verdana" w:hAnsi="Verdana"/>
          <w:sz w:val="24"/>
          <w:szCs w:val="24"/>
        </w:rPr>
      </w:pPr>
    </w:p>
    <w:p w:rsidR="009D7661" w:rsidRDefault="00667F60" w:rsidP="00911A85">
      <w:pPr>
        <w:pStyle w:val="NoSpacing"/>
        <w:numPr>
          <w:ilvl w:val="0"/>
          <w:numId w:val="1"/>
        </w:numPr>
        <w:rPr>
          <w:rFonts w:ascii="Verdana" w:hAnsi="Verdana"/>
          <w:sz w:val="24"/>
          <w:szCs w:val="24"/>
        </w:rPr>
      </w:pPr>
      <w:r>
        <w:rPr>
          <w:rFonts w:ascii="Verdana" w:hAnsi="Verdana"/>
          <w:sz w:val="24"/>
          <w:szCs w:val="24"/>
        </w:rPr>
        <w:t>Cranston now bills its customers wit</w:t>
      </w:r>
      <w:r w:rsidR="00535BBD">
        <w:rPr>
          <w:rFonts w:ascii="Verdana" w:hAnsi="Verdana"/>
          <w:sz w:val="24"/>
          <w:szCs w:val="24"/>
        </w:rPr>
        <w:t>h terms of net 45.  Although most customers pay on time, some routinely stretch the payment period to sixty or even ninety days.  What steps can Cranston take to encourage clients to pay on time</w:t>
      </w:r>
      <w:r w:rsidR="009D7661">
        <w:rPr>
          <w:rFonts w:ascii="Verdana" w:hAnsi="Verdana"/>
          <w:sz w:val="24"/>
          <w:szCs w:val="24"/>
        </w:rPr>
        <w:t>?</w:t>
      </w:r>
      <w:r w:rsidR="00535BBD">
        <w:rPr>
          <w:rFonts w:ascii="Verdana" w:hAnsi="Verdana"/>
          <w:sz w:val="24"/>
          <w:szCs w:val="24"/>
        </w:rPr>
        <w:t xml:space="preserve">  What is the potential risk of implementing penalties for late payment?</w:t>
      </w:r>
    </w:p>
    <w:p w:rsidR="009D7661" w:rsidRDefault="009D7661" w:rsidP="009D7661">
      <w:pPr>
        <w:pStyle w:val="ListParagraph"/>
        <w:rPr>
          <w:rFonts w:ascii="Verdana" w:hAnsi="Verdana"/>
          <w:sz w:val="24"/>
          <w:szCs w:val="24"/>
        </w:rPr>
      </w:pPr>
    </w:p>
    <w:p w:rsidR="009D7661" w:rsidRDefault="00535BBD" w:rsidP="00911A85">
      <w:pPr>
        <w:pStyle w:val="NoSpacing"/>
        <w:numPr>
          <w:ilvl w:val="0"/>
          <w:numId w:val="1"/>
        </w:numPr>
        <w:rPr>
          <w:rFonts w:ascii="Verdana" w:hAnsi="Verdana"/>
          <w:sz w:val="24"/>
          <w:szCs w:val="24"/>
        </w:rPr>
      </w:pPr>
      <w:r>
        <w:rPr>
          <w:rFonts w:ascii="Verdana" w:hAnsi="Verdana"/>
          <w:sz w:val="24"/>
          <w:szCs w:val="24"/>
        </w:rPr>
        <w:t>Suppose Cranston institutes a policy of granting a 1% discount for payment within fifteen days with the full amount due in 45 days.  Half the customers take the discount, the other half take an average of sixty days to pay.</w:t>
      </w:r>
    </w:p>
    <w:p w:rsidR="00535BBD" w:rsidRDefault="00535BBD" w:rsidP="00535BBD">
      <w:pPr>
        <w:pStyle w:val="NoSpacing"/>
        <w:numPr>
          <w:ilvl w:val="0"/>
          <w:numId w:val="2"/>
        </w:numPr>
        <w:rPr>
          <w:rFonts w:ascii="Verdana" w:hAnsi="Verdana"/>
          <w:sz w:val="24"/>
          <w:szCs w:val="24"/>
        </w:rPr>
      </w:pPr>
      <w:r>
        <w:rPr>
          <w:rFonts w:ascii="Verdana" w:hAnsi="Verdana"/>
          <w:sz w:val="24"/>
          <w:szCs w:val="24"/>
        </w:rPr>
        <w:t>What is the length of Cranston’s collection cycle under this new policy?</w:t>
      </w:r>
    </w:p>
    <w:p w:rsidR="00535BBD" w:rsidRDefault="00535BBD" w:rsidP="00535BBD">
      <w:pPr>
        <w:pStyle w:val="NoSpacing"/>
        <w:numPr>
          <w:ilvl w:val="0"/>
          <w:numId w:val="2"/>
        </w:numPr>
        <w:rPr>
          <w:rFonts w:ascii="Verdana" w:hAnsi="Verdana"/>
          <w:sz w:val="24"/>
          <w:szCs w:val="24"/>
        </w:rPr>
      </w:pPr>
      <w:r>
        <w:rPr>
          <w:rFonts w:ascii="Verdana" w:hAnsi="Verdana"/>
          <w:sz w:val="24"/>
          <w:szCs w:val="24"/>
        </w:rPr>
        <w:t xml:space="preserve">In dollars, how much would the policy have cost Cranston in </w:t>
      </w:r>
      <w:r w:rsidR="005C283C">
        <w:rPr>
          <w:rFonts w:ascii="Verdana" w:hAnsi="Verdana"/>
          <w:sz w:val="24"/>
          <w:szCs w:val="24"/>
        </w:rPr>
        <w:t>20x5</w:t>
      </w:r>
      <w:r>
        <w:rPr>
          <w:rFonts w:ascii="Verdana" w:hAnsi="Verdana"/>
          <w:sz w:val="24"/>
          <w:szCs w:val="24"/>
        </w:rPr>
        <w:t>?</w:t>
      </w:r>
    </w:p>
    <w:p w:rsidR="00535BBD" w:rsidRDefault="00535BBD" w:rsidP="00535BBD">
      <w:pPr>
        <w:pStyle w:val="NoSpacing"/>
        <w:numPr>
          <w:ilvl w:val="0"/>
          <w:numId w:val="2"/>
        </w:numPr>
        <w:rPr>
          <w:rFonts w:ascii="Verdana" w:hAnsi="Verdana"/>
          <w:sz w:val="24"/>
          <w:szCs w:val="24"/>
        </w:rPr>
      </w:pPr>
      <w:r>
        <w:rPr>
          <w:rFonts w:ascii="Verdana" w:hAnsi="Verdana"/>
          <w:sz w:val="24"/>
          <w:szCs w:val="24"/>
        </w:rPr>
        <w:t xml:space="preserve">If this policy had been in effect during </w:t>
      </w:r>
      <w:r w:rsidR="005C283C">
        <w:rPr>
          <w:rFonts w:ascii="Verdana" w:hAnsi="Verdana"/>
          <w:sz w:val="24"/>
          <w:szCs w:val="24"/>
        </w:rPr>
        <w:t>20x5</w:t>
      </w:r>
      <w:r>
        <w:rPr>
          <w:rFonts w:ascii="Verdana" w:hAnsi="Verdana"/>
          <w:sz w:val="24"/>
          <w:szCs w:val="24"/>
        </w:rPr>
        <w:t>, by how many days would Cranston have shortened the cash conversion cycle?</w:t>
      </w:r>
    </w:p>
    <w:p w:rsidR="009D7661" w:rsidRDefault="009D7661" w:rsidP="009D7661">
      <w:pPr>
        <w:pStyle w:val="ListParagraph"/>
        <w:rPr>
          <w:rFonts w:ascii="Verdana" w:hAnsi="Verdana"/>
          <w:sz w:val="24"/>
          <w:szCs w:val="24"/>
        </w:rPr>
      </w:pPr>
    </w:p>
    <w:p w:rsidR="00535BBD" w:rsidRDefault="00535BBD" w:rsidP="00911A85">
      <w:pPr>
        <w:pStyle w:val="NoSpacing"/>
        <w:numPr>
          <w:ilvl w:val="0"/>
          <w:numId w:val="1"/>
        </w:numPr>
        <w:rPr>
          <w:rFonts w:ascii="Verdana" w:hAnsi="Verdana"/>
          <w:sz w:val="24"/>
          <w:szCs w:val="24"/>
        </w:rPr>
      </w:pPr>
      <w:r>
        <w:rPr>
          <w:rFonts w:ascii="Verdana" w:hAnsi="Verdana"/>
          <w:sz w:val="24"/>
          <w:szCs w:val="24"/>
        </w:rPr>
        <w:t xml:space="preserve">An image-based lockbox system could accelerate Cranston’s cash collections by three days.  Cranston can earn an annual rate of 6% on the cash freed by accelerated collections.  Using sales for </w:t>
      </w:r>
      <w:r w:rsidR="005C283C">
        <w:rPr>
          <w:rFonts w:ascii="Verdana" w:hAnsi="Verdana"/>
          <w:sz w:val="24"/>
          <w:szCs w:val="24"/>
        </w:rPr>
        <w:t>20x5</w:t>
      </w:r>
      <w:r>
        <w:rPr>
          <w:rFonts w:ascii="Verdana" w:hAnsi="Verdana"/>
          <w:sz w:val="24"/>
          <w:szCs w:val="24"/>
        </w:rPr>
        <w:t>, determine the most that Cranston should pay per year for the lockbox system.</w:t>
      </w:r>
    </w:p>
    <w:p w:rsidR="00535BBD" w:rsidRDefault="00535BBD" w:rsidP="00535BBD">
      <w:pPr>
        <w:pStyle w:val="NoSpacing"/>
        <w:rPr>
          <w:rFonts w:ascii="Verdana" w:hAnsi="Verdana"/>
          <w:sz w:val="24"/>
          <w:szCs w:val="24"/>
        </w:rPr>
      </w:pPr>
    </w:p>
    <w:p w:rsidR="009D7661" w:rsidRDefault="00535BBD" w:rsidP="00535BBD">
      <w:pPr>
        <w:pStyle w:val="NoSpacing"/>
        <w:numPr>
          <w:ilvl w:val="0"/>
          <w:numId w:val="1"/>
        </w:numPr>
        <w:rPr>
          <w:rFonts w:ascii="Verdana" w:hAnsi="Verdana"/>
          <w:sz w:val="24"/>
          <w:szCs w:val="24"/>
        </w:rPr>
      </w:pPr>
      <w:r>
        <w:rPr>
          <w:rFonts w:ascii="Verdana" w:hAnsi="Verdana"/>
          <w:sz w:val="24"/>
          <w:szCs w:val="24"/>
        </w:rPr>
        <w:t>One of Cranston’s principal raw materials is plastic pellets, which it purchases in lots of 100 pounds at $0.35 per pound.  Annual consumption is 8,000,000 pounds.  Within a broad range of order sizes, ordering and shipping costs are $120 per order. Carrying costs are $1.50 per year per 100 pounds.  Compute the EOQ for plastic pellets.  If Cranston used the EOQ model, how often would it order pellets?</w:t>
      </w:r>
    </w:p>
    <w:p w:rsidR="009D7661" w:rsidRDefault="009D7661" w:rsidP="009D7661">
      <w:pPr>
        <w:pStyle w:val="NoSpacing"/>
        <w:rPr>
          <w:rFonts w:ascii="Verdana" w:hAnsi="Verdana"/>
          <w:sz w:val="24"/>
          <w:szCs w:val="24"/>
        </w:rPr>
      </w:pPr>
    </w:p>
    <w:p w:rsidR="00911A85" w:rsidRPr="00060C34" w:rsidRDefault="00911A85" w:rsidP="009D7661">
      <w:pPr>
        <w:pStyle w:val="NoSpacing"/>
        <w:rPr>
          <w:rFonts w:ascii="Verdana" w:hAnsi="Verdana"/>
          <w:sz w:val="24"/>
          <w:szCs w:val="24"/>
        </w:rPr>
      </w:pPr>
      <w:r>
        <w:rPr>
          <w:rFonts w:ascii="Verdana" w:hAnsi="Verdana"/>
          <w:sz w:val="24"/>
          <w:szCs w:val="24"/>
        </w:rPr>
        <w:t xml:space="preserve"> </w:t>
      </w:r>
    </w:p>
    <w:sectPr w:rsidR="00911A85" w:rsidRPr="00060C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013BA"/>
    <w:multiLevelType w:val="hybridMultilevel"/>
    <w:tmpl w:val="B2BA0F3A"/>
    <w:lvl w:ilvl="0" w:tplc="7D0E274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5132404F"/>
    <w:multiLevelType w:val="hybridMultilevel"/>
    <w:tmpl w:val="CD106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C34"/>
    <w:rsid w:val="00060C34"/>
    <w:rsid w:val="000A03ED"/>
    <w:rsid w:val="002643CB"/>
    <w:rsid w:val="00512DC6"/>
    <w:rsid w:val="00535BBD"/>
    <w:rsid w:val="005C283C"/>
    <w:rsid w:val="00667F60"/>
    <w:rsid w:val="007B5DD1"/>
    <w:rsid w:val="008273D3"/>
    <w:rsid w:val="00836BF1"/>
    <w:rsid w:val="00911A85"/>
    <w:rsid w:val="00935ECB"/>
    <w:rsid w:val="009D7661"/>
    <w:rsid w:val="00BC58A5"/>
    <w:rsid w:val="00C50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0C34"/>
    <w:pPr>
      <w:spacing w:after="0" w:line="240" w:lineRule="auto"/>
    </w:pPr>
  </w:style>
  <w:style w:type="table" w:styleId="TableGrid">
    <w:name w:val="Table Grid"/>
    <w:basedOn w:val="TableNormal"/>
    <w:uiPriority w:val="59"/>
    <w:rsid w:val="00060C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76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0C34"/>
    <w:pPr>
      <w:spacing w:after="0" w:line="240" w:lineRule="auto"/>
    </w:pPr>
  </w:style>
  <w:style w:type="table" w:styleId="TableGrid">
    <w:name w:val="Table Grid"/>
    <w:basedOn w:val="TableNormal"/>
    <w:uiPriority w:val="59"/>
    <w:rsid w:val="00060C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76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Regent University</Company>
  <LinksUpToDate>false</LinksUpToDate>
  <CharactersWithSpaces>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Redmer</dc:creator>
  <cp:lastModifiedBy>Timothy Redmer</cp:lastModifiedBy>
  <cp:revision>4</cp:revision>
  <dcterms:created xsi:type="dcterms:W3CDTF">2012-05-26T21:59:00Z</dcterms:created>
  <dcterms:modified xsi:type="dcterms:W3CDTF">2014-03-23T19:00:00Z</dcterms:modified>
</cp:coreProperties>
</file>