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0" w:name="page1"/>
      <w:bookmarkEnd w:id="0"/>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67"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The Charter Company</w:t>
      </w:r>
    </w:p>
    <w:p w:rsidR="00000000" w:rsidRDefault="0060774B">
      <w:pPr>
        <w:pStyle w:val="a0"/>
        <w:widowControl w:val="0"/>
        <w:autoSpaceDE w:val="0"/>
        <w:autoSpaceDN w:val="0"/>
        <w:adjustRightInd w:val="0"/>
        <w:spacing w:after="0" w:line="10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Overview</w:t>
      </w:r>
    </w:p>
    <w:p w:rsidR="00000000" w:rsidRDefault="0060774B">
      <w:pPr>
        <w:pStyle w:val="a0"/>
        <w:widowControl w:val="0"/>
        <w:autoSpaceDE w:val="0"/>
        <w:autoSpaceDN w:val="0"/>
        <w:adjustRightInd w:val="0"/>
        <w:spacing w:after="0" w:line="103"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line="258" w:lineRule="auto"/>
        <w:ind w:right="80"/>
        <w:jc w:val="both"/>
        <w:rPr>
          <w:rFonts w:ascii="Times New Roman" w:hAnsi="Times New Roman" w:cs="Times New Roman"/>
          <w:sz w:val="24"/>
          <w:szCs w:val="24"/>
        </w:rPr>
      </w:pPr>
      <w:r>
        <w:rPr>
          <w:rFonts w:ascii="Arial" w:hAnsi="Arial" w:cs="Arial"/>
        </w:rPr>
        <w:t>The Charter Company was organized in 1959 as a consolidation of several existing corporations. The company’</w:t>
      </w:r>
      <w:r>
        <w:rPr>
          <w:rFonts w:ascii="Arial" w:hAnsi="Arial" w:cs="Arial"/>
        </w:rPr>
        <w:t>s primary line of business was petroleum production and marketing, although it also maintained a significant equity investment in the Charter Security Life Insurance Company.</w:t>
      </w:r>
    </w:p>
    <w:p w:rsidR="00000000" w:rsidRDefault="0060774B">
      <w:pPr>
        <w:pStyle w:val="a0"/>
        <w:widowControl w:val="0"/>
        <w:autoSpaceDE w:val="0"/>
        <w:autoSpaceDN w:val="0"/>
        <w:adjustRightInd w:val="0"/>
        <w:spacing w:after="0" w:line="43"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line="252" w:lineRule="auto"/>
        <w:ind w:right="240"/>
        <w:rPr>
          <w:rFonts w:ascii="Times New Roman" w:hAnsi="Times New Roman" w:cs="Times New Roman"/>
          <w:sz w:val="24"/>
          <w:szCs w:val="24"/>
        </w:rPr>
      </w:pPr>
      <w:r>
        <w:rPr>
          <w:rFonts w:ascii="Arial" w:hAnsi="Arial" w:cs="Arial"/>
        </w:rPr>
        <w:t xml:space="preserve">In 1983, the Charter Company was listed by </w:t>
      </w:r>
      <w:r>
        <w:rPr>
          <w:rFonts w:ascii="Arial" w:hAnsi="Arial" w:cs="Arial"/>
          <w:i/>
          <w:iCs/>
        </w:rPr>
        <w:t>Fortune</w:t>
      </w:r>
      <w:r>
        <w:rPr>
          <w:rFonts w:ascii="Arial" w:hAnsi="Arial" w:cs="Arial"/>
        </w:rPr>
        <w:t xml:space="preserve"> magazine among the 100 larges</w:t>
      </w:r>
      <w:r>
        <w:rPr>
          <w:rFonts w:ascii="Arial" w:hAnsi="Arial" w:cs="Arial"/>
        </w:rPr>
        <w:t>t U.S. industrial companies. For the year ended December 31, 1983, revenues totaled $5.7 billion, and income from continuing operations was $50.4 million. For 1982, revenues were $4 billion, and earnings from continuing operations were $29.8 million.</w:t>
      </w:r>
    </w:p>
    <w:p w:rsidR="00000000" w:rsidRDefault="0060774B">
      <w:pPr>
        <w:pStyle w:val="a0"/>
        <w:widowControl w:val="0"/>
        <w:autoSpaceDE w:val="0"/>
        <w:autoSpaceDN w:val="0"/>
        <w:adjustRightInd w:val="0"/>
        <w:spacing w:after="0" w:line="49"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line="245" w:lineRule="auto"/>
        <w:ind w:right="40"/>
        <w:rPr>
          <w:rFonts w:ascii="Times New Roman" w:hAnsi="Times New Roman" w:cs="Times New Roman"/>
          <w:sz w:val="24"/>
          <w:szCs w:val="24"/>
        </w:rPr>
      </w:pPr>
      <w:r>
        <w:rPr>
          <w:rFonts w:ascii="Arial" w:hAnsi="Arial" w:cs="Arial"/>
        </w:rPr>
        <w:t>In s</w:t>
      </w:r>
      <w:r>
        <w:rPr>
          <w:rFonts w:ascii="Arial" w:hAnsi="Arial" w:cs="Arial"/>
        </w:rPr>
        <w:t>pite of the continuing worldwide glut in crude oil and petroleum products, Charter had maintained its quarterly dividend of $.25 per share from the second quarter of 1980 through the first quarter of 1984. During 1983 and early 1984, Charter’s common stock</w:t>
      </w:r>
      <w:r>
        <w:rPr>
          <w:rFonts w:ascii="Arial" w:hAnsi="Arial" w:cs="Arial"/>
        </w:rPr>
        <w:t xml:space="preserve"> traded in a range of $8.00 to $13.75. In the latter half of 1983, however, a number of adverse articles began appearing in the financial press, questioning the quality of Charter’s reported earnings. Nonetheless, the company’s 1983 financial statements, r</w:t>
      </w:r>
      <w:r>
        <w:rPr>
          <w:rFonts w:ascii="Arial" w:hAnsi="Arial" w:cs="Arial"/>
        </w:rPr>
        <w:t>eleased in early 1984, indicated no particular financial concerns. Moreover, the firm’s “Big Eight” auditing firm, Peat, Marwick, Mitchell &amp; Co., had issued a “clean” opinion subject only to a consistency qualification (to which they concurred).</w:t>
      </w:r>
    </w:p>
    <w:p w:rsidR="00000000" w:rsidRDefault="0060774B">
      <w:pPr>
        <w:pStyle w:val="a0"/>
        <w:widowControl w:val="0"/>
        <w:autoSpaceDE w:val="0"/>
        <w:autoSpaceDN w:val="0"/>
        <w:adjustRightInd w:val="0"/>
        <w:spacing w:after="0" w:line="58"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line="252" w:lineRule="auto"/>
        <w:ind w:right="220"/>
        <w:rPr>
          <w:rFonts w:ascii="Times New Roman" w:hAnsi="Times New Roman" w:cs="Times New Roman"/>
          <w:sz w:val="24"/>
          <w:szCs w:val="24"/>
        </w:rPr>
      </w:pPr>
      <w:r>
        <w:rPr>
          <w:rFonts w:ascii="Arial" w:hAnsi="Arial" w:cs="Arial"/>
        </w:rPr>
        <w:t xml:space="preserve">During the first week of April 1984, however, Charter reported a substantial first quarter loss and announced plans to cut oil production and lay off employees. The company’s common stock dropped in price from $9.50 per share on April 3 to $6.625 on April </w:t>
      </w:r>
      <w:r>
        <w:rPr>
          <w:rFonts w:ascii="Arial" w:hAnsi="Arial" w:cs="Arial"/>
        </w:rPr>
        <w:t>5. The price then steadily decreased to $3.25 by the end of April.</w:t>
      </w:r>
    </w:p>
    <w:p w:rsidR="00000000" w:rsidRDefault="0060774B">
      <w:pPr>
        <w:pStyle w:val="a0"/>
        <w:widowControl w:val="0"/>
        <w:autoSpaceDE w:val="0"/>
        <w:autoSpaceDN w:val="0"/>
        <w:adjustRightInd w:val="0"/>
        <w:spacing w:after="0" w:line="49"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line="278" w:lineRule="auto"/>
        <w:rPr>
          <w:rFonts w:ascii="Times New Roman" w:hAnsi="Times New Roman" w:cs="Times New Roman"/>
          <w:sz w:val="24"/>
          <w:szCs w:val="24"/>
        </w:rPr>
      </w:pPr>
      <w:r>
        <w:rPr>
          <w:rFonts w:ascii="Arial" w:hAnsi="Arial" w:cs="Arial"/>
        </w:rPr>
        <w:t>On April 20, 1984, the Charter Company and 43 of its subsidiaries filed voluntary petitions for relief under Chapter 11 of the Bankruptcy Act.</w:t>
      </w:r>
    </w:p>
    <w:p w:rsidR="00000000" w:rsidRDefault="0060774B">
      <w:pPr>
        <w:pStyle w:val="a0"/>
        <w:widowControl w:val="0"/>
        <w:autoSpaceDE w:val="0"/>
        <w:autoSpaceDN w:val="0"/>
        <w:adjustRightInd w:val="0"/>
        <w:spacing w:after="0" w:line="23"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i/>
          <w:iCs/>
        </w:rPr>
        <w:t>Copyright 1988: C. Norgaad and R. Kochanek</w:t>
      </w:r>
    </w:p>
    <w:p w:rsidR="00000000" w:rsidRDefault="0060774B">
      <w:pPr>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940" w:bottom="281" w:left="1720" w:header="720" w:footer="720" w:gutter="0"/>
          <w:cols w:space="720" w:equalWidth="0">
            <w:col w:w="958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23"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1</w:t>
      </w:r>
      <w:r>
        <w:rPr>
          <w:rFonts w:ascii="Arial" w:hAnsi="Arial" w:cs="Arial"/>
          <w:sz w:val="21"/>
          <w:szCs w:val="21"/>
        </w:rPr>
        <w:t xml:space="preserve"> of </w:t>
      </w:r>
      <w:r>
        <w:rPr>
          <w:rFonts w:ascii="Arial" w:hAnsi="Arial" w:cs="Arial"/>
          <w:b/>
          <w:bCs/>
          <w:sz w:val="21"/>
          <w:szCs w:val="21"/>
        </w:rPr>
        <w:t>9</w:t>
      </w:r>
    </w:p>
    <w:p w:rsidR="00000000" w:rsidRDefault="0060774B">
      <w:pPr>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720" w:equalWidth="0">
            <w:col w:w="112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1" w:name="page3"/>
      <w:bookmarkEnd w:id="1"/>
      <w:r>
        <w:rPr>
          <w:rFonts w:ascii="Arial" w:hAnsi="Arial" w:cs="Arial"/>
          <w:b/>
          <w:bCs/>
        </w:rPr>
        <w:lastRenderedPageBreak/>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67"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Discussion Questions</w:t>
      </w:r>
    </w:p>
    <w:p w:rsidR="00000000" w:rsidRDefault="0060774B">
      <w:pPr>
        <w:pStyle w:val="a0"/>
        <w:widowControl w:val="0"/>
        <w:autoSpaceDE w:val="0"/>
        <w:autoSpaceDN w:val="0"/>
        <w:adjustRightInd w:val="0"/>
        <w:spacing w:after="0" w:line="103"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ind w:right="20"/>
        <w:rPr>
          <w:rFonts w:ascii="Times New Roman" w:hAnsi="Times New Roman" w:cs="Times New Roman"/>
          <w:sz w:val="24"/>
          <w:szCs w:val="24"/>
        </w:rPr>
      </w:pPr>
      <w:r>
        <w:rPr>
          <w:rFonts w:ascii="Arial" w:hAnsi="Arial" w:cs="Arial"/>
        </w:rPr>
        <w:t>Answer these questions using the overview (p. 1) and 5 Exhibits (pp. 3 –</w:t>
      </w:r>
      <w:r>
        <w:rPr>
          <w:rFonts w:ascii="Arial" w:hAnsi="Arial" w:cs="Arial"/>
        </w:rPr>
        <w:t xml:space="preserve"> 9). Write your responses in a new thread on the board.</w:t>
      </w:r>
    </w:p>
    <w:p w:rsidR="00000000" w:rsidRDefault="0060774B">
      <w:pPr>
        <w:pStyle w:val="a0"/>
        <w:widowControl w:val="0"/>
        <w:autoSpaceDE w:val="0"/>
        <w:autoSpaceDN w:val="0"/>
        <w:adjustRightInd w:val="0"/>
        <w:spacing w:after="0" w:line="25" w:lineRule="exact"/>
        <w:rPr>
          <w:rFonts w:ascii="Times New Roman" w:hAnsi="Times New Roman" w:cs="Times New Roman"/>
          <w:sz w:val="24"/>
          <w:szCs w:val="24"/>
        </w:rPr>
      </w:pPr>
    </w:p>
    <w:p w:rsidR="00000000" w:rsidRDefault="0060774B">
      <w:pPr>
        <w:pStyle w:val="a0"/>
        <w:widowControl w:val="0"/>
        <w:numPr>
          <w:ilvl w:val="0"/>
          <w:numId w:val="1"/>
        </w:numPr>
        <w:overflowPunct w:val="0"/>
        <w:autoSpaceDE w:val="0"/>
        <w:autoSpaceDN w:val="0"/>
        <w:adjustRightInd w:val="0"/>
        <w:spacing w:after="0" w:line="257" w:lineRule="auto"/>
        <w:ind w:right="60" w:hanging="352"/>
        <w:jc w:val="both"/>
        <w:rPr>
          <w:rFonts w:ascii="Arial" w:hAnsi="Arial" w:cs="Arial"/>
          <w:b/>
          <w:bCs/>
        </w:rPr>
      </w:pPr>
      <w:r>
        <w:rPr>
          <w:rFonts w:ascii="Arial" w:hAnsi="Arial" w:cs="Arial"/>
        </w:rPr>
        <w:t>Calculate the following ratios for each year during the period 1980-1983. Comment on the trend indicated by each ratio with respect to the financial performance and condition of the Charter Compa</w:t>
      </w:r>
      <w:r>
        <w:rPr>
          <w:rFonts w:ascii="Arial" w:hAnsi="Arial" w:cs="Arial"/>
        </w:rPr>
        <w:t xml:space="preserve">ny. </w:t>
      </w:r>
    </w:p>
    <w:p w:rsidR="00000000" w:rsidRDefault="0060774B">
      <w:pPr>
        <w:pStyle w:val="a0"/>
        <w:widowControl w:val="0"/>
        <w:autoSpaceDE w:val="0"/>
        <w:autoSpaceDN w:val="0"/>
        <w:adjustRightInd w:val="0"/>
        <w:spacing w:after="0" w:line="44" w:lineRule="exact"/>
        <w:rPr>
          <w:rFonts w:ascii="Arial" w:hAnsi="Arial" w:cs="Arial"/>
          <w:b/>
          <w:bCs/>
        </w:rPr>
      </w:pPr>
    </w:p>
    <w:p w:rsidR="00000000" w:rsidRDefault="0060774B">
      <w:pPr>
        <w:pStyle w:val="a0"/>
        <w:widowControl w:val="0"/>
        <w:numPr>
          <w:ilvl w:val="1"/>
          <w:numId w:val="1"/>
        </w:numPr>
        <w:tabs>
          <w:tab w:val="clear" w:pos="1440"/>
          <w:tab w:val="num" w:pos="1180"/>
        </w:tabs>
        <w:overflowPunct w:val="0"/>
        <w:autoSpaceDE w:val="0"/>
        <w:autoSpaceDN w:val="0"/>
        <w:adjustRightInd w:val="0"/>
        <w:spacing w:after="0" w:line="240" w:lineRule="auto"/>
        <w:ind w:left="1180" w:hanging="361"/>
        <w:jc w:val="both"/>
        <w:rPr>
          <w:rFonts w:ascii="Arial" w:hAnsi="Arial" w:cs="Arial"/>
          <w:b/>
          <w:bCs/>
        </w:rPr>
      </w:pPr>
      <w:r>
        <w:rPr>
          <w:rFonts w:ascii="Arial" w:hAnsi="Arial" w:cs="Arial"/>
        </w:rPr>
        <w:t xml:space="preserve">Profitability: </w:t>
      </w:r>
    </w:p>
    <w:p w:rsidR="00000000" w:rsidRDefault="0060774B">
      <w:pPr>
        <w:pStyle w:val="a0"/>
        <w:widowControl w:val="0"/>
        <w:autoSpaceDE w:val="0"/>
        <w:autoSpaceDN w:val="0"/>
        <w:adjustRightInd w:val="0"/>
        <w:spacing w:after="0" w:line="102" w:lineRule="exact"/>
        <w:rPr>
          <w:rFonts w:ascii="Arial" w:hAnsi="Arial" w:cs="Arial"/>
          <w:b/>
          <w:bCs/>
        </w:rPr>
      </w:pPr>
    </w:p>
    <w:p w:rsidR="00000000" w:rsidRDefault="0060774B">
      <w:pPr>
        <w:pStyle w:val="a0"/>
        <w:widowControl w:val="0"/>
        <w:overflowPunct w:val="0"/>
        <w:autoSpaceDE w:val="0"/>
        <w:autoSpaceDN w:val="0"/>
        <w:adjustRightInd w:val="0"/>
        <w:spacing w:after="0" w:line="240" w:lineRule="auto"/>
        <w:ind w:left="1180"/>
        <w:jc w:val="both"/>
        <w:rPr>
          <w:rFonts w:ascii="Arial" w:hAnsi="Arial" w:cs="Arial"/>
          <w:b/>
          <w:bCs/>
        </w:rPr>
      </w:pPr>
      <w:r>
        <w:rPr>
          <w:rFonts w:ascii="Arial" w:hAnsi="Arial" w:cs="Arial"/>
        </w:rPr>
        <w:t xml:space="preserve">Return on average total assets (assume a 46% income tax rate)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1"/>
          <w:numId w:val="1"/>
        </w:numPr>
        <w:tabs>
          <w:tab w:val="clear" w:pos="1440"/>
          <w:tab w:val="num" w:pos="1180"/>
        </w:tabs>
        <w:overflowPunct w:val="0"/>
        <w:autoSpaceDE w:val="0"/>
        <w:autoSpaceDN w:val="0"/>
        <w:adjustRightInd w:val="0"/>
        <w:spacing w:after="0" w:line="240" w:lineRule="auto"/>
        <w:ind w:left="1180" w:hanging="361"/>
        <w:jc w:val="both"/>
        <w:rPr>
          <w:rFonts w:ascii="Arial" w:hAnsi="Arial" w:cs="Arial"/>
          <w:b/>
          <w:bCs/>
        </w:rPr>
      </w:pPr>
      <w:r>
        <w:rPr>
          <w:rFonts w:ascii="Arial" w:hAnsi="Arial" w:cs="Arial"/>
        </w:rPr>
        <w:t xml:space="preserve">Turnover: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203"/>
        <w:jc w:val="both"/>
        <w:rPr>
          <w:rFonts w:ascii="Arial" w:hAnsi="Arial" w:cs="Arial"/>
          <w:b/>
          <w:bCs/>
        </w:rPr>
      </w:pPr>
      <w:r>
        <w:rPr>
          <w:rFonts w:ascii="Arial" w:hAnsi="Arial" w:cs="Arial"/>
        </w:rPr>
        <w:t xml:space="preserve">Accounts receivable (based on average gross trade receivables).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266"/>
        <w:jc w:val="both"/>
        <w:rPr>
          <w:rFonts w:ascii="Arial" w:hAnsi="Arial" w:cs="Arial"/>
          <w:b/>
          <w:bCs/>
        </w:rPr>
      </w:pPr>
      <w:r>
        <w:rPr>
          <w:rFonts w:ascii="Arial" w:hAnsi="Arial" w:cs="Arial"/>
        </w:rPr>
        <w:t xml:space="preserve">Inventory (based on average total inventory).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326"/>
        <w:jc w:val="both"/>
        <w:rPr>
          <w:rFonts w:ascii="Arial" w:hAnsi="Arial" w:cs="Arial"/>
          <w:b/>
          <w:bCs/>
        </w:rPr>
      </w:pPr>
      <w:r>
        <w:rPr>
          <w:rFonts w:ascii="Arial" w:hAnsi="Arial" w:cs="Arial"/>
        </w:rPr>
        <w:t>Total a</w:t>
      </w:r>
      <w:r>
        <w:rPr>
          <w:rFonts w:ascii="Arial" w:hAnsi="Arial" w:cs="Arial"/>
        </w:rPr>
        <w:t xml:space="preserve">ssets (based on average total assets).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1"/>
          <w:numId w:val="1"/>
        </w:numPr>
        <w:tabs>
          <w:tab w:val="clear" w:pos="1440"/>
          <w:tab w:val="num" w:pos="1180"/>
        </w:tabs>
        <w:overflowPunct w:val="0"/>
        <w:autoSpaceDE w:val="0"/>
        <w:autoSpaceDN w:val="0"/>
        <w:adjustRightInd w:val="0"/>
        <w:spacing w:after="0" w:line="240" w:lineRule="auto"/>
        <w:ind w:left="1180" w:hanging="361"/>
        <w:jc w:val="both"/>
        <w:rPr>
          <w:rFonts w:ascii="Arial" w:hAnsi="Arial" w:cs="Arial"/>
          <w:b/>
          <w:bCs/>
        </w:rPr>
      </w:pPr>
      <w:r>
        <w:rPr>
          <w:rFonts w:ascii="Arial" w:hAnsi="Arial" w:cs="Arial"/>
        </w:rPr>
        <w:t xml:space="preserve">Liquidity: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203"/>
        <w:jc w:val="both"/>
        <w:rPr>
          <w:rFonts w:ascii="Arial" w:hAnsi="Arial" w:cs="Arial"/>
          <w:b/>
          <w:bCs/>
        </w:rPr>
      </w:pPr>
      <w:r>
        <w:rPr>
          <w:rFonts w:ascii="Arial" w:hAnsi="Arial" w:cs="Arial"/>
        </w:rPr>
        <w:t xml:space="preserve">Current ratio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266"/>
        <w:jc w:val="both"/>
        <w:rPr>
          <w:rFonts w:ascii="Arial" w:hAnsi="Arial" w:cs="Arial"/>
          <w:b/>
          <w:bCs/>
        </w:rPr>
      </w:pPr>
      <w:r>
        <w:rPr>
          <w:rFonts w:ascii="Arial" w:hAnsi="Arial" w:cs="Arial"/>
        </w:rPr>
        <w:t xml:space="preserve">Quick ratio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1"/>
          <w:numId w:val="1"/>
        </w:numPr>
        <w:tabs>
          <w:tab w:val="clear" w:pos="1440"/>
          <w:tab w:val="num" w:pos="1180"/>
        </w:tabs>
        <w:overflowPunct w:val="0"/>
        <w:autoSpaceDE w:val="0"/>
        <w:autoSpaceDN w:val="0"/>
        <w:adjustRightInd w:val="0"/>
        <w:spacing w:after="0" w:line="240" w:lineRule="auto"/>
        <w:ind w:left="1180" w:hanging="361"/>
        <w:jc w:val="both"/>
        <w:rPr>
          <w:rFonts w:ascii="Arial" w:hAnsi="Arial" w:cs="Arial"/>
          <w:b/>
          <w:bCs/>
        </w:rPr>
      </w:pPr>
      <w:r>
        <w:rPr>
          <w:rFonts w:ascii="Arial" w:hAnsi="Arial" w:cs="Arial"/>
        </w:rPr>
        <w:t xml:space="preserve">Solvency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204"/>
        <w:jc w:val="both"/>
        <w:rPr>
          <w:rFonts w:ascii="Arial" w:hAnsi="Arial" w:cs="Arial"/>
          <w:b/>
          <w:bCs/>
        </w:rPr>
      </w:pPr>
      <w:r>
        <w:rPr>
          <w:rFonts w:ascii="Arial" w:hAnsi="Arial" w:cs="Arial"/>
        </w:rPr>
        <w:t xml:space="preserve">Total liabilities to total equities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2"/>
          <w:numId w:val="1"/>
        </w:numPr>
        <w:tabs>
          <w:tab w:val="clear" w:pos="2160"/>
          <w:tab w:val="num" w:pos="1440"/>
        </w:tabs>
        <w:overflowPunct w:val="0"/>
        <w:autoSpaceDE w:val="0"/>
        <w:autoSpaceDN w:val="0"/>
        <w:adjustRightInd w:val="0"/>
        <w:spacing w:after="0" w:line="240" w:lineRule="auto"/>
        <w:ind w:left="1440" w:hanging="266"/>
        <w:jc w:val="both"/>
        <w:rPr>
          <w:rFonts w:ascii="Arial" w:hAnsi="Arial" w:cs="Arial"/>
          <w:b/>
          <w:bCs/>
        </w:rPr>
      </w:pPr>
      <w:r>
        <w:rPr>
          <w:rFonts w:ascii="Arial" w:hAnsi="Arial" w:cs="Arial"/>
        </w:rPr>
        <w:t xml:space="preserve">Total long-term debt to total long-term debt plus owner’s equity </w:t>
      </w:r>
    </w:p>
    <w:p w:rsidR="00000000" w:rsidRDefault="0060774B">
      <w:pPr>
        <w:pStyle w:val="a0"/>
        <w:widowControl w:val="0"/>
        <w:autoSpaceDE w:val="0"/>
        <w:autoSpaceDN w:val="0"/>
        <w:adjustRightInd w:val="0"/>
        <w:spacing w:after="0" w:line="99" w:lineRule="exact"/>
        <w:rPr>
          <w:rFonts w:ascii="Arial" w:hAnsi="Arial" w:cs="Arial"/>
          <w:b/>
          <w:bCs/>
        </w:rPr>
      </w:pPr>
    </w:p>
    <w:p w:rsidR="00000000" w:rsidRDefault="0060774B">
      <w:pPr>
        <w:pStyle w:val="a0"/>
        <w:widowControl w:val="0"/>
        <w:numPr>
          <w:ilvl w:val="0"/>
          <w:numId w:val="1"/>
        </w:numPr>
        <w:overflowPunct w:val="0"/>
        <w:autoSpaceDE w:val="0"/>
        <w:autoSpaceDN w:val="0"/>
        <w:adjustRightInd w:val="0"/>
        <w:spacing w:after="0" w:line="249" w:lineRule="auto"/>
        <w:ind w:hanging="353"/>
        <w:rPr>
          <w:rFonts w:ascii="Arial" w:hAnsi="Arial" w:cs="Arial"/>
          <w:b/>
          <w:bCs/>
        </w:rPr>
      </w:pPr>
      <w:r>
        <w:rPr>
          <w:rFonts w:ascii="Arial" w:hAnsi="Arial" w:cs="Arial"/>
        </w:rPr>
        <w:t xml:space="preserve">The Charter Company had a number of nonrecurring and/or noncash components of income from continuing operations in 1983. Beginning with the 1983 earnings from continuing operations, adjust this figure for nonrecurring and/or noncash items (information for </w:t>
      </w:r>
      <w:r>
        <w:rPr>
          <w:rFonts w:ascii="Arial" w:hAnsi="Arial" w:cs="Arial"/>
        </w:rPr>
        <w:t xml:space="preserve">these adjustments are included in Exhibit 1 (p. 3), Exhibit 3 (p. 6), and Exhibit 4 (pp. 7 – 8)). </w:t>
      </w:r>
    </w:p>
    <w:p w:rsidR="00000000" w:rsidRDefault="0060774B">
      <w:pPr>
        <w:pStyle w:val="a0"/>
        <w:widowControl w:val="0"/>
        <w:autoSpaceDE w:val="0"/>
        <w:autoSpaceDN w:val="0"/>
        <w:adjustRightInd w:val="0"/>
        <w:spacing w:after="0" w:line="53" w:lineRule="exact"/>
        <w:rPr>
          <w:rFonts w:ascii="Arial" w:hAnsi="Arial" w:cs="Arial"/>
          <w:b/>
          <w:bCs/>
        </w:rPr>
      </w:pPr>
    </w:p>
    <w:p w:rsidR="00000000" w:rsidRDefault="0060774B">
      <w:pPr>
        <w:pStyle w:val="a0"/>
        <w:widowControl w:val="0"/>
        <w:numPr>
          <w:ilvl w:val="0"/>
          <w:numId w:val="1"/>
        </w:numPr>
        <w:overflowPunct w:val="0"/>
        <w:autoSpaceDE w:val="0"/>
        <w:autoSpaceDN w:val="0"/>
        <w:adjustRightInd w:val="0"/>
        <w:spacing w:after="0" w:line="258" w:lineRule="auto"/>
        <w:ind w:right="480" w:hanging="353"/>
        <w:jc w:val="both"/>
        <w:rPr>
          <w:rFonts w:ascii="Arial" w:hAnsi="Arial" w:cs="Arial"/>
          <w:b/>
          <w:bCs/>
        </w:rPr>
      </w:pPr>
      <w:r>
        <w:rPr>
          <w:rFonts w:ascii="Arial" w:hAnsi="Arial" w:cs="Arial"/>
        </w:rPr>
        <w:t>Based on the information presented in the case, discuss the extent to which the stock market, in the aggregate, anticipated Charter’s problems and price</w:t>
      </w:r>
      <w:r>
        <w:rPr>
          <w:rFonts w:ascii="Arial" w:hAnsi="Arial" w:cs="Arial"/>
        </w:rPr>
        <w:t xml:space="preserve">d its common stock accordingly (see Exhibit 5 (p. 9)). </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980" w:bottom="281" w:left="1720" w:header="720" w:footer="720" w:gutter="0"/>
          <w:cols w:space="720" w:equalWidth="0">
            <w:col w:w="954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385"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2</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720" w:equalWidth="0">
            <w:col w:w="112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2" w:name="page5"/>
      <w:bookmarkEnd w:id="2"/>
      <w:r>
        <w:rPr>
          <w:rFonts w:ascii="Arial" w:hAnsi="Arial" w:cs="Arial"/>
          <w:b/>
          <w:bCs/>
        </w:rPr>
        <w:lastRenderedPageBreak/>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2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Exhibit 1</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76"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600"/>
        <w:rPr>
          <w:rFonts w:ascii="Times New Roman" w:hAnsi="Times New Roman" w:cs="Times New Roman"/>
          <w:sz w:val="24"/>
          <w:szCs w:val="24"/>
        </w:rPr>
      </w:pPr>
      <w:r>
        <w:rPr>
          <w:rFonts w:ascii="Arial" w:hAnsi="Arial" w:cs="Arial"/>
          <w:b/>
          <w:bCs/>
          <w:sz w:val="18"/>
          <w:szCs w:val="18"/>
        </w:rPr>
        <w:t>The Charter Company</w:t>
      </w:r>
    </w:p>
    <w:p w:rsidR="00000000" w:rsidRDefault="0060774B">
      <w:pPr>
        <w:pStyle w:val="a0"/>
        <w:widowControl w:val="0"/>
        <w:autoSpaceDE w:val="0"/>
        <w:autoSpaceDN w:val="0"/>
        <w:adjustRightInd w:val="0"/>
        <w:spacing w:after="0" w:line="45"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17"/>
          <w:szCs w:val="17"/>
        </w:rPr>
        <w:t>Consolidated Statement of Earnings</w:t>
      </w:r>
    </w:p>
    <w:p w:rsidR="00000000" w:rsidRDefault="0060774B">
      <w:pPr>
        <w:pStyle w:val="a0"/>
        <w:widowControl w:val="0"/>
        <w:autoSpaceDE w:val="0"/>
        <w:autoSpaceDN w:val="0"/>
        <w:adjustRightInd w:val="0"/>
        <w:spacing w:after="0" w:line="3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39" w:lineRule="auto"/>
        <w:ind w:left="400"/>
        <w:rPr>
          <w:rFonts w:ascii="Times New Roman" w:hAnsi="Times New Roman" w:cs="Times New Roman"/>
          <w:sz w:val="24"/>
          <w:szCs w:val="24"/>
        </w:rPr>
      </w:pPr>
      <w:r>
        <w:rPr>
          <w:rFonts w:ascii="Arial" w:hAnsi="Arial" w:cs="Arial"/>
          <w:b/>
          <w:bCs/>
          <w:sz w:val="18"/>
          <w:szCs w:val="18"/>
        </w:rPr>
        <w:t>Years Ended December 31</w:t>
      </w:r>
    </w:p>
    <w:p w:rsidR="00000000" w:rsidRDefault="0060774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980"/>
        <w:rPr>
          <w:rFonts w:ascii="Times New Roman" w:hAnsi="Times New Roman" w:cs="Times New Roman"/>
          <w:sz w:val="24"/>
          <w:szCs w:val="24"/>
        </w:rPr>
      </w:pPr>
      <w:r>
        <w:rPr>
          <w:rFonts w:ascii="Arial" w:hAnsi="Arial" w:cs="Arial"/>
          <w:sz w:val="18"/>
          <w:szCs w:val="18"/>
        </w:rPr>
        <w:t>(In thousands)</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2580" w:bottom="281" w:left="1720" w:header="720" w:footer="720" w:gutter="0"/>
          <w:cols w:num="2" w:space="2540" w:equalWidth="0">
            <w:col w:w="2300" w:space="2540"/>
            <w:col w:w="3100"/>
          </w:cols>
          <w:noEndnote/>
        </w:sectPr>
      </w:pPr>
    </w:p>
    <w:p w:rsidR="00000000" w:rsidRDefault="0060774B">
      <w:pPr>
        <w:pStyle w:val="a0"/>
        <w:widowControl w:val="0"/>
        <w:autoSpaceDE w:val="0"/>
        <w:autoSpaceDN w:val="0"/>
        <w:adjustRightInd w:val="0"/>
        <w:spacing w:after="0" w:line="188"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220"/>
        <w:gridCol w:w="820"/>
        <w:gridCol w:w="420"/>
        <w:gridCol w:w="180"/>
        <w:gridCol w:w="620"/>
        <w:gridCol w:w="460"/>
        <w:gridCol w:w="200"/>
        <w:gridCol w:w="620"/>
        <w:gridCol w:w="460"/>
        <w:gridCol w:w="220"/>
        <w:gridCol w:w="640"/>
        <w:gridCol w:w="120"/>
        <w:gridCol w:w="340"/>
        <w:gridCol w:w="220"/>
        <w:gridCol w:w="660"/>
        <w:gridCol w:w="460"/>
        <w:gridCol w:w="20"/>
      </w:tblGrid>
      <w:tr w:rsidR="00000000">
        <w:tblPrEx>
          <w:tblCellMar>
            <w:top w:w="0" w:type="dxa"/>
            <w:left w:w="0" w:type="dxa"/>
            <w:bottom w:w="0" w:type="dxa"/>
            <w:right w:w="0" w:type="dxa"/>
          </w:tblCellMar>
        </w:tblPrEx>
        <w:trPr>
          <w:trHeight w:val="215"/>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90"/>
              <w:jc w:val="right"/>
              <w:rPr>
                <w:rFonts w:ascii="Times New Roman" w:hAnsi="Times New Roman" w:cs="Times New Roman"/>
                <w:sz w:val="24"/>
                <w:szCs w:val="24"/>
              </w:rPr>
            </w:pPr>
            <w:r>
              <w:rPr>
                <w:rFonts w:ascii="Arial" w:hAnsi="Arial" w:cs="Arial"/>
                <w:b/>
                <w:bCs/>
                <w:sz w:val="18"/>
                <w:szCs w:val="18"/>
              </w:rPr>
              <w:t>1983</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90"/>
              <w:jc w:val="right"/>
              <w:rPr>
                <w:rFonts w:ascii="Times New Roman" w:hAnsi="Times New Roman" w:cs="Times New Roman"/>
                <w:sz w:val="24"/>
                <w:szCs w:val="24"/>
              </w:rPr>
            </w:pPr>
            <w:r>
              <w:rPr>
                <w:rFonts w:ascii="Arial" w:hAnsi="Arial" w:cs="Arial"/>
                <w:b/>
                <w:bCs/>
                <w:sz w:val="18"/>
                <w:szCs w:val="18"/>
              </w:rPr>
              <w:t>1982</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90"/>
              <w:jc w:val="right"/>
              <w:rPr>
                <w:rFonts w:ascii="Times New Roman" w:hAnsi="Times New Roman" w:cs="Times New Roman"/>
                <w:sz w:val="24"/>
                <w:szCs w:val="24"/>
              </w:rPr>
            </w:pPr>
            <w:r>
              <w:rPr>
                <w:rFonts w:ascii="Arial" w:hAnsi="Arial" w:cs="Arial"/>
                <w:b/>
                <w:bCs/>
                <w:sz w:val="18"/>
                <w:szCs w:val="18"/>
              </w:rPr>
              <w:t>1981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76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b/>
                <w:bCs/>
                <w:sz w:val="18"/>
                <w:szCs w:val="18"/>
              </w:rPr>
              <w:t>1980</w:t>
            </w: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330"/>
              <w:jc w:val="right"/>
              <w:rPr>
                <w:rFonts w:ascii="Times New Roman" w:hAnsi="Times New Roman" w:cs="Times New Roman"/>
                <w:sz w:val="24"/>
                <w:szCs w:val="24"/>
              </w:rPr>
            </w:pPr>
            <w:r>
              <w:rPr>
                <w:rFonts w:ascii="Arial" w:hAnsi="Arial" w:cs="Arial"/>
                <w:b/>
                <w:bCs/>
                <w:sz w:val="18"/>
                <w:szCs w:val="18"/>
              </w:rPr>
              <w:t>1979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Revenues</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$5,656,770</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$4,017,161</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$4,966,171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$4,563,011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$4,296,370</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5"/>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rPr>
                <w:rFonts w:ascii="Times New Roman" w:hAnsi="Times New Roman" w:cs="Times New Roman"/>
                <w:sz w:val="24"/>
                <w:szCs w:val="24"/>
              </w:rPr>
            </w:pPr>
            <w:r>
              <w:rPr>
                <w:rFonts w:ascii="Arial" w:hAnsi="Arial" w:cs="Arial"/>
                <w:sz w:val="18"/>
                <w:szCs w:val="18"/>
              </w:rPr>
              <w:t>Equity in net earnings of Charter</w:t>
            </w:r>
          </w:p>
        </w:tc>
        <w:tc>
          <w:tcPr>
            <w:tcW w:w="8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0"/>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ind w:left="100"/>
              <w:rPr>
                <w:rFonts w:ascii="Times New Roman" w:hAnsi="Times New Roman" w:cs="Times New Roman"/>
                <w:sz w:val="24"/>
                <w:szCs w:val="24"/>
              </w:rPr>
            </w:pPr>
            <w:r>
              <w:rPr>
                <w:rFonts w:ascii="Arial" w:hAnsi="Arial" w:cs="Arial"/>
                <w:sz w:val="18"/>
                <w:szCs w:val="18"/>
              </w:rPr>
              <w:t>Security Life and other affiliates</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u w:val="single"/>
              </w:rPr>
              <w:t>117,958</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u w:val="single"/>
              </w:rPr>
              <w:t>43,402</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u w:val="single"/>
              </w:rPr>
              <w:t>14,080</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76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rPr>
              <w:t>661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u w:val="single"/>
              </w:rPr>
              <w:t>2,357</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9"/>
        </w:trPr>
        <w:tc>
          <w:tcPr>
            <w:tcW w:w="3220" w:type="dxa"/>
            <w:vMerge w:val="restart"/>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Expenses:</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$5,774,728</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$4,060,563</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$4,980,251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$4,563,672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$4,298,727</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77"/>
        </w:trPr>
        <w:tc>
          <w:tcPr>
            <w:tcW w:w="3220" w:type="dxa"/>
            <w:vMerge/>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8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Cost of sales and operating</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$5,364,820</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$3,744,462</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$4,512,215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$4,193,275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$3,624,619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Selling, general and administrative</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99,987</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101,968</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190,656</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112,694</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154,608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Interest</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80,886</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69,879</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89,196</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77,133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44,000</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Depreciation, depletion and</w:t>
            </w:r>
          </w:p>
        </w:tc>
        <w:tc>
          <w:tcPr>
            <w:tcW w:w="8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500"/>
              <w:rPr>
                <w:rFonts w:ascii="Times New Roman" w:hAnsi="Times New Roman" w:cs="Times New Roman"/>
                <w:sz w:val="24"/>
                <w:szCs w:val="24"/>
              </w:rPr>
            </w:pPr>
            <w:r>
              <w:rPr>
                <w:rFonts w:ascii="Arial" w:hAnsi="Arial" w:cs="Arial"/>
                <w:sz w:val="18"/>
                <w:szCs w:val="18"/>
              </w:rPr>
              <w:t>amortization</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37,939</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36,074</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32,511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35,085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28,851</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Write-off of certain units at</w:t>
            </w:r>
          </w:p>
        </w:tc>
        <w:tc>
          <w:tcPr>
            <w:tcW w:w="8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5"/>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ind w:left="500"/>
              <w:rPr>
                <w:rFonts w:ascii="Times New Roman" w:hAnsi="Times New Roman" w:cs="Times New Roman"/>
                <w:sz w:val="24"/>
                <w:szCs w:val="24"/>
              </w:rPr>
            </w:pPr>
            <w:r>
              <w:rPr>
                <w:rFonts w:ascii="Arial" w:hAnsi="Arial" w:cs="Arial"/>
                <w:sz w:val="18"/>
                <w:szCs w:val="18"/>
              </w:rPr>
              <w:t>Bahamas refinery</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49,428</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0"/>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ind w:left="100"/>
              <w:rPr>
                <w:rFonts w:ascii="Times New Roman" w:hAnsi="Times New Roman" w:cs="Times New Roman"/>
                <w:sz w:val="24"/>
                <w:szCs w:val="24"/>
              </w:rPr>
            </w:pPr>
            <w:r>
              <w:rPr>
                <w:rFonts w:ascii="Arial" w:hAnsi="Arial" w:cs="Arial"/>
                <w:sz w:val="18"/>
                <w:szCs w:val="18"/>
              </w:rPr>
              <w:t>Write-down of tanker</w:t>
            </w:r>
          </w:p>
        </w:tc>
        <w:tc>
          <w:tcPr>
            <w:tcW w:w="14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0" w:lineRule="exact"/>
              <w:ind w:right="180"/>
              <w:jc w:val="right"/>
              <w:rPr>
                <w:rFonts w:ascii="Times New Roman" w:hAnsi="Times New Roman" w:cs="Times New Roman"/>
                <w:sz w:val="24"/>
                <w:szCs w:val="24"/>
              </w:rPr>
            </w:pPr>
            <w:r>
              <w:rPr>
                <w:rFonts w:ascii="Arial" w:hAnsi="Arial" w:cs="Arial"/>
                <w:sz w:val="18"/>
                <w:szCs w:val="18"/>
                <w:u w:val="single"/>
              </w:rPr>
              <w:t>7,772</w:t>
            </w: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rPr>
              <w:t>-</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gridSpan w:val="2"/>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200"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9"/>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760"/>
              <w:rPr>
                <w:rFonts w:ascii="Times New Roman" w:hAnsi="Times New Roman" w:cs="Times New Roman"/>
                <w:sz w:val="24"/>
                <w:szCs w:val="24"/>
              </w:rPr>
            </w:pPr>
            <w:r>
              <w:rPr>
                <w:rFonts w:ascii="Arial" w:hAnsi="Arial" w:cs="Arial"/>
                <w:sz w:val="18"/>
                <w:szCs w:val="18"/>
              </w:rPr>
              <w:t>Total Expenses</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$5,640,832</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$3,952,383</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$4,824,578</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$4,418,187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$3,852,078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84"/>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Earnings before income taxes, etc.</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$133,896</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$108,180</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$155,673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$145,485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$446,649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Income taxes</w:t>
            </w:r>
          </w:p>
        </w:tc>
        <w:tc>
          <w:tcPr>
            <w:tcW w:w="14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80"/>
              <w:jc w:val="right"/>
              <w:rPr>
                <w:rFonts w:ascii="Times New Roman" w:hAnsi="Times New Roman" w:cs="Times New Roman"/>
                <w:sz w:val="24"/>
                <w:szCs w:val="24"/>
              </w:rPr>
            </w:pPr>
            <w:r>
              <w:rPr>
                <w:rFonts w:ascii="Arial" w:hAnsi="Arial" w:cs="Arial"/>
                <w:sz w:val="18"/>
                <w:szCs w:val="18"/>
                <w:u w:val="single"/>
              </w:rPr>
              <w:t>83514</w:t>
            </w:r>
          </w:p>
        </w:tc>
        <w:tc>
          <w:tcPr>
            <w:tcW w:w="128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00"/>
              <w:jc w:val="right"/>
              <w:rPr>
                <w:rFonts w:ascii="Times New Roman" w:hAnsi="Times New Roman" w:cs="Times New Roman"/>
                <w:sz w:val="24"/>
                <w:szCs w:val="24"/>
              </w:rPr>
            </w:pPr>
            <w:r>
              <w:rPr>
                <w:rFonts w:ascii="Arial" w:hAnsi="Arial" w:cs="Arial"/>
                <w:sz w:val="18"/>
                <w:szCs w:val="18"/>
                <w:u w:val="single"/>
              </w:rPr>
              <w:t>78350</w:t>
            </w:r>
          </w:p>
        </w:tc>
        <w:tc>
          <w:tcPr>
            <w:tcW w:w="13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20"/>
              <w:jc w:val="right"/>
              <w:rPr>
                <w:rFonts w:ascii="Times New Roman" w:hAnsi="Times New Roman" w:cs="Times New Roman"/>
                <w:sz w:val="24"/>
                <w:szCs w:val="24"/>
              </w:rPr>
            </w:pPr>
            <w:r>
              <w:rPr>
                <w:rFonts w:ascii="Arial" w:hAnsi="Arial" w:cs="Arial"/>
                <w:sz w:val="18"/>
                <w:szCs w:val="18"/>
                <w:u w:val="single"/>
              </w:rPr>
              <w:t>99727</w:t>
            </w:r>
          </w:p>
        </w:tc>
        <w:tc>
          <w:tcPr>
            <w:tcW w:w="1320" w:type="dxa"/>
            <w:gridSpan w:val="4"/>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20"/>
              <w:jc w:val="right"/>
              <w:rPr>
                <w:rFonts w:ascii="Times New Roman" w:hAnsi="Times New Roman" w:cs="Times New Roman"/>
                <w:sz w:val="24"/>
                <w:szCs w:val="24"/>
              </w:rPr>
            </w:pPr>
            <w:r>
              <w:rPr>
                <w:rFonts w:ascii="Arial" w:hAnsi="Arial" w:cs="Arial"/>
                <w:sz w:val="18"/>
                <w:szCs w:val="18"/>
                <w:u w:val="single"/>
              </w:rPr>
              <w:t>95248</w:t>
            </w: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u w:val="single"/>
              </w:rPr>
              <w:t>78923</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Earnings from continuing operations</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$50,382</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$29,830</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$55,946</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$50,237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$367,726</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Discontinued operations, net</w:t>
            </w:r>
          </w:p>
        </w:tc>
        <w:tc>
          <w:tcPr>
            <w:tcW w:w="14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80"/>
              <w:jc w:val="right"/>
              <w:rPr>
                <w:rFonts w:ascii="Times New Roman" w:hAnsi="Times New Roman" w:cs="Times New Roman"/>
                <w:sz w:val="24"/>
                <w:szCs w:val="24"/>
              </w:rPr>
            </w:pPr>
            <w:r>
              <w:rPr>
                <w:rFonts w:ascii="Arial" w:hAnsi="Arial" w:cs="Arial"/>
                <w:sz w:val="18"/>
                <w:szCs w:val="18"/>
              </w:rPr>
              <w:t>(1,950)</w:t>
            </w:r>
          </w:p>
        </w:tc>
        <w:tc>
          <w:tcPr>
            <w:tcW w:w="128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00"/>
              <w:jc w:val="right"/>
              <w:rPr>
                <w:rFonts w:ascii="Times New Roman" w:hAnsi="Times New Roman" w:cs="Times New Roman"/>
                <w:sz w:val="24"/>
                <w:szCs w:val="24"/>
              </w:rPr>
            </w:pPr>
            <w:r>
              <w:rPr>
                <w:rFonts w:ascii="Arial" w:hAnsi="Arial" w:cs="Arial"/>
                <w:sz w:val="18"/>
                <w:szCs w:val="18"/>
              </w:rPr>
              <w:t>5,430</w:t>
            </w:r>
          </w:p>
        </w:tc>
        <w:tc>
          <w:tcPr>
            <w:tcW w:w="13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20"/>
              <w:jc w:val="right"/>
              <w:rPr>
                <w:rFonts w:ascii="Times New Roman" w:hAnsi="Times New Roman" w:cs="Times New Roman"/>
                <w:sz w:val="24"/>
                <w:szCs w:val="24"/>
              </w:rPr>
            </w:pPr>
            <w:r>
              <w:rPr>
                <w:rFonts w:ascii="Arial" w:hAnsi="Arial" w:cs="Arial"/>
                <w:sz w:val="18"/>
                <w:szCs w:val="18"/>
              </w:rPr>
              <w:t>(48,229)</w:t>
            </w: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rPr>
                <w:rFonts w:ascii="Times New Roman" w:hAnsi="Times New Roman" w:cs="Times New Roman"/>
                <w:sz w:val="24"/>
                <w:szCs w:val="24"/>
              </w:rPr>
            </w:pPr>
            <w:r>
              <w:rPr>
                <w:rFonts w:ascii="Arial" w:hAnsi="Arial" w:cs="Arial"/>
                <w:sz w:val="18"/>
                <w:szCs w:val="18"/>
              </w:rPr>
              <w:t>Extraordinary charge</w:t>
            </w:r>
          </w:p>
        </w:tc>
        <w:tc>
          <w:tcPr>
            <w:tcW w:w="8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gridSpan w:val="2"/>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u w:val="single"/>
              </w:rPr>
              <w:t>(2,388)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87"/>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Earnings before cumulative effect</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$48,432</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$35,260</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$7,717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$50,237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$365,338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Cumulative effect on prior years of a</w:t>
            </w:r>
          </w:p>
        </w:tc>
        <w:tc>
          <w:tcPr>
            <w:tcW w:w="8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w:hAnsi="Arial" w:cs="Arial"/>
                <w:sz w:val="18"/>
                <w:szCs w:val="18"/>
              </w:rPr>
              <w:t>change in accounting principle</w:t>
            </w:r>
          </w:p>
        </w:tc>
        <w:tc>
          <w:tcPr>
            <w:tcW w:w="14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ind w:right="180"/>
              <w:jc w:val="right"/>
              <w:rPr>
                <w:rFonts w:ascii="Times New Roman" w:hAnsi="Times New Roman" w:cs="Times New Roman"/>
                <w:sz w:val="24"/>
                <w:szCs w:val="24"/>
              </w:rPr>
            </w:pPr>
            <w:r>
              <w:rPr>
                <w:rFonts w:ascii="Arial" w:hAnsi="Arial" w:cs="Arial"/>
                <w:sz w:val="18"/>
                <w:szCs w:val="18"/>
                <w:u w:val="single"/>
              </w:rPr>
              <w:t>5,463</w:t>
            </w: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gridSpan w:val="2"/>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19"/>
        </w:trPr>
        <w:tc>
          <w:tcPr>
            <w:tcW w:w="3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Net earnings</w:t>
            </w:r>
          </w:p>
        </w:tc>
        <w:tc>
          <w:tcPr>
            <w:tcW w:w="12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$53,895</w:t>
            </w:r>
          </w:p>
        </w:tc>
        <w:tc>
          <w:tcPr>
            <w:tcW w:w="1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$35,260</w:t>
            </w:r>
          </w:p>
        </w:tc>
        <w:tc>
          <w:tcPr>
            <w:tcW w:w="2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$7,717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0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$50,237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1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$365,338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720" w:header="720" w:footer="720" w:gutter="0"/>
          <w:cols w:space="2540" w:equalWidth="0">
            <w:col w:w="9660" w:space="254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2"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3</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2540" w:equalWidth="0">
            <w:col w:w="1120" w:space="254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3" w:name="page7"/>
      <w:bookmarkEnd w:id="3"/>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2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Exhibit 2</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76"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320"/>
        <w:rPr>
          <w:rFonts w:ascii="Times New Roman" w:hAnsi="Times New Roman" w:cs="Times New Roman"/>
          <w:sz w:val="24"/>
          <w:szCs w:val="24"/>
        </w:rPr>
      </w:pPr>
      <w:r>
        <w:rPr>
          <w:rFonts w:ascii="Arial" w:hAnsi="Arial" w:cs="Arial"/>
          <w:b/>
          <w:bCs/>
          <w:sz w:val="18"/>
          <w:szCs w:val="18"/>
        </w:rPr>
        <w:t>The Charter Company</w:t>
      </w:r>
    </w:p>
    <w:p w:rsidR="00000000" w:rsidRDefault="0060774B">
      <w:pPr>
        <w:pStyle w:val="a0"/>
        <w:widowControl w:val="0"/>
        <w:autoSpaceDE w:val="0"/>
        <w:autoSpaceDN w:val="0"/>
        <w:adjustRightInd w:val="0"/>
        <w:spacing w:after="0" w:line="45"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17"/>
          <w:szCs w:val="17"/>
        </w:rPr>
        <w:t>Consolidated Balance Sheets</w:t>
      </w:r>
    </w:p>
    <w:p w:rsidR="00000000" w:rsidRDefault="0060774B">
      <w:pPr>
        <w:pStyle w:val="a0"/>
        <w:widowControl w:val="0"/>
        <w:autoSpaceDE w:val="0"/>
        <w:autoSpaceDN w:val="0"/>
        <w:adjustRightInd w:val="0"/>
        <w:spacing w:after="0" w:line="3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39" w:lineRule="auto"/>
        <w:ind w:left="960"/>
        <w:rPr>
          <w:rFonts w:ascii="Times New Roman" w:hAnsi="Times New Roman" w:cs="Times New Roman"/>
          <w:sz w:val="24"/>
          <w:szCs w:val="24"/>
        </w:rPr>
      </w:pPr>
      <w:r>
        <w:rPr>
          <w:rFonts w:ascii="Arial" w:hAnsi="Arial" w:cs="Arial"/>
          <w:b/>
          <w:bCs/>
          <w:sz w:val="18"/>
          <w:szCs w:val="18"/>
        </w:rPr>
        <w:t>31-Dec</w:t>
      </w:r>
    </w:p>
    <w:p w:rsidR="00000000" w:rsidRDefault="0060774B">
      <w:pPr>
        <w:pStyle w:val="a0"/>
        <w:widowControl w:val="0"/>
        <w:autoSpaceDE w:val="0"/>
        <w:autoSpaceDN w:val="0"/>
        <w:adjustRightInd w:val="0"/>
        <w:spacing w:after="0" w:line="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680"/>
        <w:rPr>
          <w:rFonts w:ascii="Times New Roman" w:hAnsi="Times New Roman" w:cs="Times New Roman"/>
          <w:sz w:val="24"/>
          <w:szCs w:val="24"/>
        </w:rPr>
      </w:pPr>
      <w:r>
        <w:rPr>
          <w:rFonts w:ascii="Arial" w:hAnsi="Arial" w:cs="Arial"/>
          <w:sz w:val="18"/>
          <w:szCs w:val="18"/>
        </w:rPr>
        <w:t>(In thousands)</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2760" w:bottom="281" w:left="1720" w:header="720" w:footer="720" w:gutter="0"/>
          <w:cols w:num="2" w:space="2940" w:equalWidth="0">
            <w:col w:w="2300" w:space="2940"/>
            <w:col w:w="2520"/>
          </w:cols>
          <w:noEndnote/>
        </w:sectPr>
      </w:pPr>
    </w:p>
    <w:p w:rsidR="00000000" w:rsidRDefault="0060774B">
      <w:pPr>
        <w:pStyle w:val="a0"/>
        <w:widowControl w:val="0"/>
        <w:autoSpaceDE w:val="0"/>
        <w:autoSpaceDN w:val="0"/>
        <w:adjustRightInd w:val="0"/>
        <w:spacing w:after="0" w:line="188"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500"/>
        <w:gridCol w:w="1280"/>
        <w:gridCol w:w="1240"/>
        <w:gridCol w:w="1280"/>
        <w:gridCol w:w="1280"/>
        <w:gridCol w:w="1080"/>
        <w:gridCol w:w="20"/>
      </w:tblGrid>
      <w:tr w:rsidR="00000000">
        <w:tblPrEx>
          <w:tblCellMar>
            <w:top w:w="0" w:type="dxa"/>
            <w:left w:w="0" w:type="dxa"/>
            <w:bottom w:w="0" w:type="dxa"/>
            <w:right w:w="0" w:type="dxa"/>
          </w:tblCellMar>
        </w:tblPrEx>
        <w:trPr>
          <w:trHeight w:val="215"/>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18"/>
                <w:szCs w:val="18"/>
              </w:rPr>
              <w:t>Assets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450"/>
              <w:jc w:val="right"/>
              <w:rPr>
                <w:rFonts w:ascii="Times New Roman" w:hAnsi="Times New Roman" w:cs="Times New Roman"/>
                <w:sz w:val="24"/>
                <w:szCs w:val="24"/>
              </w:rPr>
            </w:pPr>
            <w:r>
              <w:rPr>
                <w:rFonts w:ascii="Arial" w:hAnsi="Arial" w:cs="Arial"/>
                <w:b/>
                <w:bCs/>
                <w:sz w:val="18"/>
                <w:szCs w:val="18"/>
              </w:rPr>
              <w:t>1983</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450"/>
              <w:jc w:val="right"/>
              <w:rPr>
                <w:rFonts w:ascii="Times New Roman" w:hAnsi="Times New Roman" w:cs="Times New Roman"/>
                <w:sz w:val="24"/>
                <w:szCs w:val="24"/>
              </w:rPr>
            </w:pPr>
            <w:r>
              <w:rPr>
                <w:rFonts w:ascii="Arial" w:hAnsi="Arial" w:cs="Arial"/>
                <w:b/>
                <w:bCs/>
                <w:sz w:val="18"/>
                <w:szCs w:val="18"/>
              </w:rPr>
              <w:t>1982</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470"/>
              <w:jc w:val="right"/>
              <w:rPr>
                <w:rFonts w:ascii="Times New Roman" w:hAnsi="Times New Roman" w:cs="Times New Roman"/>
                <w:sz w:val="24"/>
                <w:szCs w:val="24"/>
              </w:rPr>
            </w:pPr>
            <w:r>
              <w:rPr>
                <w:rFonts w:ascii="Arial" w:hAnsi="Arial" w:cs="Arial"/>
                <w:b/>
                <w:bCs/>
                <w:sz w:val="18"/>
                <w:szCs w:val="18"/>
              </w:rPr>
              <w:t>1981</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470"/>
              <w:jc w:val="right"/>
              <w:rPr>
                <w:rFonts w:ascii="Times New Roman" w:hAnsi="Times New Roman" w:cs="Times New Roman"/>
                <w:sz w:val="24"/>
                <w:szCs w:val="24"/>
              </w:rPr>
            </w:pPr>
            <w:r>
              <w:rPr>
                <w:rFonts w:ascii="Arial" w:hAnsi="Arial" w:cs="Arial"/>
                <w:b/>
                <w:bCs/>
                <w:sz w:val="18"/>
                <w:szCs w:val="18"/>
              </w:rPr>
              <w:t>1980</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90"/>
              <w:jc w:val="right"/>
              <w:rPr>
                <w:rFonts w:ascii="Times New Roman" w:hAnsi="Times New Roman" w:cs="Times New Roman"/>
                <w:sz w:val="24"/>
                <w:szCs w:val="24"/>
              </w:rPr>
            </w:pPr>
            <w:r>
              <w:rPr>
                <w:rFonts w:ascii="Arial" w:hAnsi="Arial" w:cs="Arial"/>
                <w:b/>
                <w:bCs/>
                <w:sz w:val="18"/>
                <w:szCs w:val="18"/>
              </w:rPr>
              <w:t>1979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Current assets: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Cash &amp; Cash Equivalents........................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$64,031</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rPr>
              <w:t>$59,939</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$69,283</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$94,112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$95,632</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Receivables: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Trade accounts........................................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294,715</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262,646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343,862</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322,237</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296,344</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Other.......................................................</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22,756</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rPr>
              <w:t>18,736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25,967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32,142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41,488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Affiliates..................................................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31,030</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rPr>
              <w:t>30,106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11,479</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16,312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499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Short-term notes and</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current installments of</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long-term receivables............................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u w:val="single"/>
              </w:rPr>
              <w:t>2,868</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u w:val="single"/>
              </w:rPr>
              <w:t>24,744</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u w:val="single"/>
              </w:rPr>
              <w:t>8,815</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u w:val="single"/>
              </w:rPr>
              <w:t>3,133</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u w:val="single"/>
              </w:rPr>
              <w:t>8,745</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vMerge w:val="restart"/>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Less: Allowance for doubtful</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351,369</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336,232</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390,123</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373,824</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347,076</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74"/>
        </w:trPr>
        <w:tc>
          <w:tcPr>
            <w:tcW w:w="3500" w:type="dxa"/>
            <w:vMerge/>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9"/>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receivables............................................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10,951</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8,622</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14,464</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6,062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14,005</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0"/>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Net receivables........................................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340,418</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327,610</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375,659</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367,762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333,071</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84"/>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Inventories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Petroleum................................................</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352,162</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rPr>
              <w:t>228,462</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111,313</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270,094</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319,001</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Other.......................................................</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17,554</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11,287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25,374</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25,477</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29,179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0"/>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Inventories......................................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369,716</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239,749</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136,687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295,571</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348,180</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84"/>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Assets held for sale.................................</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15,260</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Prepaid expenses....................................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12,302</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14,578</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27,316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16,217</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16,971</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0"/>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current assets.................................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801,727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641,876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608,945</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773,662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793,854</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84"/>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Investments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Bahamas refinery affiliates.......................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311,151</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rPr>
              <w:t>374,913</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389,060</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407,402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408,635</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Charter Security Life &amp; other</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affiliates.................................................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261,115</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125,955</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76,751</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83,190</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55,060</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Other.......................................................</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4,237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41,515</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41,160</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39,990</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44,342</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0"/>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Investments....................................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576,503</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542,383</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506,971</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530,582</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508,037</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475"/>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Property, plant &amp; equipment.....................</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426,415</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407,814</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403,187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468,851</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395,188</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Less: Accumulated</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depreciation and depletion.....................</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152,343</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140,977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124,409</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122,225</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92,889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6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Net property, plant &amp;</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3"/>
                <w:szCs w:val="23"/>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3"/>
                <w:szCs w:val="23"/>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3"/>
                <w:szCs w:val="23"/>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3"/>
                <w:szCs w:val="23"/>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3"/>
                <w:szCs w:val="23"/>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equipment.............................................</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274,072</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266,837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278,778</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346,626</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302,299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84"/>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Net assets of discontinued</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operations.............................................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70"/>
              <w:jc w:val="right"/>
              <w:rPr>
                <w:rFonts w:ascii="Times New Roman" w:hAnsi="Times New Roman" w:cs="Times New Roman"/>
                <w:sz w:val="24"/>
                <w:szCs w:val="24"/>
              </w:rPr>
            </w:pPr>
            <w:r>
              <w:rPr>
                <w:rFonts w:ascii="Arial" w:hAnsi="Arial" w:cs="Arial"/>
                <w:sz w:val="18"/>
                <w:szCs w:val="18"/>
              </w:rPr>
              <w:t>26,282</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2,717</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90"/>
              <w:jc w:val="right"/>
              <w:rPr>
                <w:rFonts w:ascii="Times New Roman" w:hAnsi="Times New Roman" w:cs="Times New Roman"/>
                <w:sz w:val="24"/>
                <w:szCs w:val="24"/>
              </w:rPr>
            </w:pPr>
            <w:r>
              <w:rPr>
                <w:rFonts w:ascii="Arial" w:hAnsi="Arial" w:cs="Arial"/>
                <w:sz w:val="18"/>
                <w:szCs w:val="18"/>
              </w:rPr>
              <w:t>-</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Intangibles from acquisitions (net)...........</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61,877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rPr>
              <w:t>59,110</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74,115</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rPr>
              <w:t>44,293</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73,023</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Other assets............................................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99,020</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91,558</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69,800</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51,097</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51,481</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300"/>
        </w:trPr>
        <w:tc>
          <w:tcPr>
            <w:tcW w:w="35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assets.............................................</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$1,813,199</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sz w:val="18"/>
                <w:szCs w:val="18"/>
                <w:u w:val="single"/>
              </w:rPr>
              <w:t>$1,628,046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u w:val="single"/>
              </w:rPr>
              <w:t>$1,541,326</w:t>
            </w:r>
          </w:p>
        </w:tc>
        <w:tc>
          <w:tcPr>
            <w:tcW w:w="12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90"/>
              <w:jc w:val="right"/>
              <w:rPr>
                <w:rFonts w:ascii="Times New Roman" w:hAnsi="Times New Roman" w:cs="Times New Roman"/>
                <w:sz w:val="24"/>
                <w:szCs w:val="24"/>
              </w:rPr>
            </w:pPr>
            <w:r>
              <w:rPr>
                <w:rFonts w:ascii="Arial" w:hAnsi="Arial" w:cs="Arial"/>
                <w:sz w:val="18"/>
                <w:szCs w:val="18"/>
                <w:u w:val="single"/>
              </w:rPr>
              <w:t>$1,746,260</w:t>
            </w:r>
          </w:p>
        </w:tc>
        <w:tc>
          <w:tcPr>
            <w:tcW w:w="10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$1,728,694</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720" w:header="720" w:footer="720" w:gutter="0"/>
          <w:cols w:space="2940" w:equalWidth="0">
            <w:col w:w="9660" w:space="294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3"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4</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2940" w:equalWidth="0">
            <w:col w:w="1120" w:space="294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4" w:name="page9"/>
      <w:bookmarkEnd w:id="4"/>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349"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Exhibit 2 (cont.)</w:t>
      </w:r>
    </w:p>
    <w:p w:rsidR="00000000" w:rsidRDefault="0060774B">
      <w:pPr>
        <w:pStyle w:val="a0"/>
        <w:widowControl w:val="0"/>
        <w:autoSpaceDE w:val="0"/>
        <w:autoSpaceDN w:val="0"/>
        <w:adjustRightInd w:val="0"/>
        <w:spacing w:after="0" w:line="26"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560"/>
        <w:gridCol w:w="1300"/>
        <w:gridCol w:w="1240"/>
        <w:gridCol w:w="680"/>
        <w:gridCol w:w="360"/>
        <w:gridCol w:w="220"/>
        <w:gridCol w:w="680"/>
        <w:gridCol w:w="360"/>
        <w:gridCol w:w="220"/>
        <w:gridCol w:w="1040"/>
      </w:tblGrid>
      <w:tr w:rsidR="00000000">
        <w:tblPrEx>
          <w:tblCellMar>
            <w:top w:w="0" w:type="dxa"/>
            <w:left w:w="0" w:type="dxa"/>
            <w:bottom w:w="0" w:type="dxa"/>
            <w:right w:w="0" w:type="dxa"/>
          </w:tblCellMar>
        </w:tblPrEx>
        <w:trPr>
          <w:trHeight w:val="207"/>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b/>
                <w:bCs/>
                <w:sz w:val="18"/>
                <w:szCs w:val="18"/>
              </w:rPr>
              <w:t>Liabilities and Stockholders' Equity</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Current Liabilities: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Notes payable..........................................</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$144,000</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$3,250</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$50,500</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$76,563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$858</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Current installment of long-term debt.......</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28,317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29,342</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17,192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21,402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23,363</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Accounts payable....................................</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419,967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416,924</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309,275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348,312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374,387</w:t>
            </w:r>
          </w:p>
        </w:tc>
      </w:tr>
      <w:tr w:rsidR="00000000">
        <w:tblPrEx>
          <w:tblCellMar>
            <w:top w:w="0" w:type="dxa"/>
            <w:left w:w="0" w:type="dxa"/>
            <w:bottom w:w="0" w:type="dxa"/>
            <w:right w:w="0" w:type="dxa"/>
          </w:tblCellMar>
        </w:tblPrEx>
        <w:trPr>
          <w:trHeight w:val="205"/>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rPr>
                <w:rFonts w:ascii="Times New Roman" w:hAnsi="Times New Roman" w:cs="Times New Roman"/>
                <w:sz w:val="24"/>
                <w:szCs w:val="24"/>
              </w:rPr>
            </w:pPr>
            <w:r>
              <w:rPr>
                <w:rFonts w:ascii="Arial" w:hAnsi="Arial" w:cs="Arial"/>
                <w:sz w:val="18"/>
                <w:szCs w:val="18"/>
              </w:rPr>
              <w:t>Payable to</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ind w:right="150"/>
              <w:jc w:val="right"/>
              <w:rPr>
                <w:rFonts w:ascii="Times New Roman" w:hAnsi="Times New Roman" w:cs="Times New Roman"/>
                <w:sz w:val="24"/>
                <w:szCs w:val="24"/>
              </w:rPr>
            </w:pPr>
            <w:r>
              <w:rPr>
                <w:rFonts w:ascii="Arial" w:hAnsi="Arial" w:cs="Arial"/>
                <w:sz w:val="18"/>
                <w:szCs w:val="18"/>
              </w:rPr>
              <w:t>39,143</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ind w:right="130"/>
              <w:jc w:val="right"/>
              <w:rPr>
                <w:rFonts w:ascii="Times New Roman" w:hAnsi="Times New Roman" w:cs="Times New Roman"/>
                <w:sz w:val="24"/>
                <w:szCs w:val="24"/>
              </w:rPr>
            </w:pPr>
            <w:r>
              <w:rPr>
                <w:rFonts w:ascii="Arial" w:hAnsi="Arial" w:cs="Arial"/>
                <w:sz w:val="18"/>
                <w:szCs w:val="18"/>
              </w:rPr>
              <w:t>21,257</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5" w:lineRule="exact"/>
              <w:jc w:val="right"/>
              <w:rPr>
                <w:rFonts w:ascii="Times New Roman" w:hAnsi="Times New Roman" w:cs="Times New Roman"/>
                <w:sz w:val="24"/>
                <w:szCs w:val="24"/>
              </w:rPr>
            </w:pPr>
            <w:r>
              <w:rPr>
                <w:rFonts w:ascii="Arial" w:hAnsi="Arial" w:cs="Arial"/>
                <w:sz w:val="18"/>
                <w:szCs w:val="18"/>
              </w:rPr>
              <w:t>-</w:t>
            </w:r>
          </w:p>
        </w:tc>
      </w:tr>
      <w:tr w:rsidR="00000000">
        <w:tblPrEx>
          <w:tblCellMar>
            <w:top w:w="0" w:type="dxa"/>
            <w:left w:w="0" w:type="dxa"/>
            <w:bottom w:w="0" w:type="dxa"/>
            <w:right w:w="0" w:type="dxa"/>
          </w:tblCellMar>
        </w:tblPrEx>
        <w:trPr>
          <w:trHeight w:val="210"/>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affiliates...................................................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Accrued expenses....................................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54,579</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48,261</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54,939</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71,747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74,499</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Income taxes...........................................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u w:val="single"/>
              </w:rPr>
              <w:t>14,749</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u w:val="single"/>
              </w:rPr>
              <w:t>21,625</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u w:val="single"/>
              </w:rPr>
              <w:t>27,217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u w:val="single"/>
              </w:rPr>
              <w:t>17,433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u w:val="single"/>
              </w:rPr>
              <w:t>28,208</w:t>
            </w:r>
          </w:p>
        </w:tc>
      </w:tr>
      <w:tr w:rsidR="00000000">
        <w:tblPrEx>
          <w:tblCellMar>
            <w:top w:w="0" w:type="dxa"/>
            <w:left w:w="0" w:type="dxa"/>
            <w:bottom w:w="0" w:type="dxa"/>
            <w:right w:w="0" w:type="dxa"/>
          </w:tblCellMar>
        </w:tblPrEx>
        <w:trPr>
          <w:trHeight w:val="238"/>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current liabilities..............................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700,755</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540,659</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459,123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535,457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501,315</w:t>
            </w:r>
          </w:p>
        </w:tc>
      </w:tr>
      <w:tr w:rsidR="00000000">
        <w:tblPrEx>
          <w:tblCellMar>
            <w:top w:w="0" w:type="dxa"/>
            <w:left w:w="0" w:type="dxa"/>
            <w:bottom w:w="0" w:type="dxa"/>
            <w:right w:w="0" w:type="dxa"/>
          </w:tblCellMar>
        </w:tblPrEx>
        <w:trPr>
          <w:trHeight w:val="384"/>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Long-term debt excluding</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current installments...............................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111,134</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133,086</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251,425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404,631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416,087</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Long-term debt payable to unconsol-</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idatd, wholly owned subsidiaries............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94,000</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91,000</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Subordinated debt, net of discount,</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excluding current installments................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189,261</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154,200</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81,673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81,316</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84,412</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Net liabilities of discontinued</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operations.............................................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20,554</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Deferred income taxes.............................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32,504</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16,068</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43,820</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27,377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41,728</w:t>
            </w:r>
          </w:p>
        </w:tc>
      </w:tr>
      <w:tr w:rsidR="00000000">
        <w:tblPrEx>
          <w:tblCellMar>
            <w:top w:w="0" w:type="dxa"/>
            <w:left w:w="0" w:type="dxa"/>
            <w:bottom w:w="0" w:type="dxa"/>
            <w:right w:w="0" w:type="dxa"/>
          </w:tblCellMar>
        </w:tblPrEx>
        <w:trPr>
          <w:trHeight w:val="238"/>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Deferred credits and other........................</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50,864</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52,242</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50,704</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19,793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36,828</w:t>
            </w:r>
          </w:p>
        </w:tc>
      </w:tr>
      <w:tr w:rsidR="00000000">
        <w:tblPrEx>
          <w:tblCellMar>
            <w:top w:w="0" w:type="dxa"/>
            <w:left w:w="0" w:type="dxa"/>
            <w:bottom w:w="0" w:type="dxa"/>
            <w:right w:w="0" w:type="dxa"/>
          </w:tblCellMar>
        </w:tblPrEx>
        <w:trPr>
          <w:trHeight w:val="355"/>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Stockholders' equity</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7"/>
                <w:szCs w:val="17"/>
              </w:rPr>
              <w:t xml:space="preserve">Preferred stock </w:t>
            </w:r>
            <w:r>
              <w:rPr>
                <w:rFonts w:ascii="Arial" w:hAnsi="Arial" w:cs="Arial"/>
                <w:sz w:val="23"/>
                <w:szCs w:val="23"/>
                <w:vertAlign w:val="superscript"/>
              </w:rPr>
              <w:t>(a)</w:t>
            </w:r>
            <w:r>
              <w:rPr>
                <w:rFonts w:ascii="Arial" w:hAnsi="Arial" w:cs="Arial"/>
                <w:sz w:val="17"/>
                <w:szCs w:val="17"/>
              </w:rPr>
              <w:t>...................................</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129,312</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114,787</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117,608</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117,917</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125,372</w:t>
            </w:r>
          </w:p>
        </w:tc>
      </w:tr>
      <w:tr w:rsidR="00000000">
        <w:tblPrEx>
          <w:tblCellMar>
            <w:top w:w="0" w:type="dxa"/>
            <w:left w:w="0" w:type="dxa"/>
            <w:bottom w:w="0" w:type="dxa"/>
            <w:right w:w="0" w:type="dxa"/>
          </w:tblCellMar>
        </w:tblPrEx>
        <w:trPr>
          <w:trHeight w:val="235"/>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35" w:lineRule="exact"/>
              <w:rPr>
                <w:rFonts w:ascii="Times New Roman" w:hAnsi="Times New Roman" w:cs="Times New Roman"/>
                <w:sz w:val="24"/>
                <w:szCs w:val="24"/>
              </w:rPr>
            </w:pPr>
            <w:r>
              <w:rPr>
                <w:rFonts w:ascii="Arial" w:hAnsi="Arial" w:cs="Arial"/>
                <w:sz w:val="18"/>
                <w:szCs w:val="18"/>
              </w:rPr>
              <w:t xml:space="preserve">Common stock </w:t>
            </w:r>
            <w:r>
              <w:rPr>
                <w:rFonts w:ascii="Arial" w:hAnsi="Arial" w:cs="Arial"/>
                <w:sz w:val="24"/>
                <w:szCs w:val="24"/>
                <w:vertAlign w:val="superscript"/>
              </w:rPr>
              <w:t>(b)</w:t>
            </w:r>
            <w:r>
              <w:rPr>
                <w:rFonts w:ascii="Arial" w:hAnsi="Arial" w:cs="Arial"/>
                <w:sz w:val="18"/>
                <w:szCs w:val="18"/>
              </w:rPr>
              <w:t>...................................</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16,587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21,570</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21,592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21,592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20,166</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Additional paid-in-capital on common</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60"/>
              <w:rPr>
                <w:rFonts w:ascii="Times New Roman" w:hAnsi="Times New Roman" w:cs="Times New Roman"/>
                <w:sz w:val="24"/>
                <w:szCs w:val="24"/>
              </w:rPr>
            </w:pPr>
            <w:r>
              <w:rPr>
                <w:rFonts w:ascii="Arial" w:hAnsi="Arial" w:cs="Arial"/>
                <w:sz w:val="18"/>
                <w:szCs w:val="18"/>
              </w:rPr>
              <w:t>stock......................................................</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sz w:val="18"/>
                <w:szCs w:val="18"/>
              </w:rPr>
              <w:t>35,635</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30"/>
              <w:jc w:val="right"/>
              <w:rPr>
                <w:rFonts w:ascii="Times New Roman" w:hAnsi="Times New Roman" w:cs="Times New Roman"/>
                <w:sz w:val="24"/>
                <w:szCs w:val="24"/>
              </w:rPr>
            </w:pPr>
            <w:r>
              <w:rPr>
                <w:rFonts w:ascii="Arial" w:hAnsi="Arial" w:cs="Arial"/>
                <w:sz w:val="18"/>
                <w:szCs w:val="18"/>
              </w:rPr>
              <w:t>53,721</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67,233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67,202</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57,268</w:t>
            </w: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Retained earnings....................................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rPr>
              <w:t>429,298</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rPr>
              <w:t>448,924</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447,555</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470,476</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449,629</w:t>
            </w: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Net unrealized gain on investment</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securities of unconsolidated sub-</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19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ind w:left="100"/>
              <w:rPr>
                <w:rFonts w:ascii="Times New Roman" w:hAnsi="Times New Roman" w:cs="Times New Roman"/>
                <w:sz w:val="24"/>
                <w:szCs w:val="24"/>
              </w:rPr>
            </w:pPr>
            <w:r>
              <w:rPr>
                <w:rFonts w:ascii="Arial" w:hAnsi="Arial" w:cs="Arial"/>
                <w:sz w:val="18"/>
                <w:szCs w:val="18"/>
              </w:rPr>
              <w:t>sidiaries, net of taxes.............................</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ind w:right="150"/>
              <w:jc w:val="right"/>
              <w:rPr>
                <w:rFonts w:ascii="Times New Roman" w:hAnsi="Times New Roman" w:cs="Times New Roman"/>
                <w:sz w:val="24"/>
                <w:szCs w:val="24"/>
              </w:rPr>
            </w:pPr>
            <w:r>
              <w:rPr>
                <w:rFonts w:ascii="Arial" w:hAnsi="Arial" w:cs="Arial"/>
                <w:sz w:val="18"/>
                <w:szCs w:val="18"/>
                <w:u w:val="single"/>
              </w:rPr>
              <w:t>3,295</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ind w:right="130"/>
              <w:jc w:val="right"/>
              <w:rPr>
                <w:rFonts w:ascii="Times New Roman" w:hAnsi="Times New Roman" w:cs="Times New Roman"/>
                <w:sz w:val="24"/>
                <w:szCs w:val="24"/>
              </w:rPr>
            </w:pPr>
            <w:r>
              <w:rPr>
                <w:rFonts w:ascii="Arial" w:hAnsi="Arial" w:cs="Arial"/>
                <w:sz w:val="18"/>
                <w:szCs w:val="18"/>
                <w:u w:val="single"/>
              </w:rPr>
              <w:t>1,789</w:t>
            </w: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593</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6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single" w:sz="8" w:space="0" w:color="auto"/>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499</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u w:val="single"/>
              </w:rPr>
              <w:t>(4,111)</w:t>
            </w:r>
          </w:p>
        </w:tc>
      </w:tr>
      <w:tr w:rsidR="00000000">
        <w:tblPrEx>
          <w:tblCellMar>
            <w:top w:w="0" w:type="dxa"/>
            <w:left w:w="0" w:type="dxa"/>
            <w:bottom w:w="0" w:type="dxa"/>
            <w:right w:w="0" w:type="dxa"/>
          </w:tblCellMar>
        </w:tblPrEx>
        <w:trPr>
          <w:trHeight w:val="31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u w:val="single"/>
              </w:rPr>
              <w:t>614,127</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u w:val="single"/>
              </w:rPr>
              <w:t>640,791</w:t>
            </w: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654,581</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677,686</w:t>
            </w:r>
          </w:p>
        </w:tc>
        <w:tc>
          <w:tcPr>
            <w:tcW w:w="2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648,324</w:t>
            </w:r>
          </w:p>
        </w:tc>
      </w:tr>
      <w:tr w:rsidR="00000000">
        <w:tblPrEx>
          <w:tblCellMar>
            <w:top w:w="0" w:type="dxa"/>
            <w:left w:w="0" w:type="dxa"/>
            <w:bottom w:w="0" w:type="dxa"/>
            <w:right w:w="0" w:type="dxa"/>
          </w:tblCellMar>
        </w:tblPrEx>
        <w:trPr>
          <w:trHeight w:val="300"/>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liabilities &amp; stockholders' equity.......</w:t>
            </w:r>
          </w:p>
        </w:tc>
        <w:tc>
          <w:tcPr>
            <w:tcW w:w="13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50"/>
              <w:jc w:val="right"/>
              <w:rPr>
                <w:rFonts w:ascii="Times New Roman" w:hAnsi="Times New Roman" w:cs="Times New Roman"/>
                <w:sz w:val="24"/>
                <w:szCs w:val="24"/>
              </w:rPr>
            </w:pPr>
            <w:r>
              <w:rPr>
                <w:rFonts w:ascii="Arial" w:hAnsi="Arial" w:cs="Arial"/>
                <w:sz w:val="18"/>
                <w:szCs w:val="18"/>
                <w:u w:val="single"/>
              </w:rPr>
              <w:t>1,813,199</w:t>
            </w:r>
          </w:p>
        </w:tc>
        <w:tc>
          <w:tcPr>
            <w:tcW w:w="12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sz w:val="18"/>
                <w:szCs w:val="18"/>
                <w:u w:val="single"/>
              </w:rPr>
              <w:t>1,628,046</w:t>
            </w:r>
          </w:p>
        </w:tc>
        <w:tc>
          <w:tcPr>
            <w:tcW w:w="126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20"/>
              <w:jc w:val="right"/>
              <w:rPr>
                <w:rFonts w:ascii="Times New Roman" w:hAnsi="Times New Roman" w:cs="Times New Roman"/>
                <w:sz w:val="24"/>
                <w:szCs w:val="24"/>
              </w:rPr>
            </w:pPr>
            <w:r>
              <w:rPr>
                <w:rFonts w:ascii="Arial" w:hAnsi="Arial" w:cs="Arial"/>
                <w:sz w:val="18"/>
                <w:szCs w:val="18"/>
                <w:u w:val="single"/>
              </w:rPr>
              <w:t>1,541,326</w:t>
            </w:r>
          </w:p>
        </w:tc>
        <w:tc>
          <w:tcPr>
            <w:tcW w:w="126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20"/>
              <w:jc w:val="right"/>
              <w:rPr>
                <w:rFonts w:ascii="Times New Roman" w:hAnsi="Times New Roman" w:cs="Times New Roman"/>
                <w:sz w:val="24"/>
                <w:szCs w:val="24"/>
              </w:rPr>
            </w:pPr>
            <w:r>
              <w:rPr>
                <w:rFonts w:ascii="Arial" w:hAnsi="Arial" w:cs="Arial"/>
                <w:sz w:val="18"/>
                <w:szCs w:val="18"/>
                <w:u w:val="single"/>
              </w:rPr>
              <w:t>1,746,260</w:t>
            </w:r>
          </w:p>
        </w:tc>
        <w:tc>
          <w:tcPr>
            <w:tcW w:w="10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1,728,694</w:t>
            </w:r>
          </w:p>
        </w:tc>
      </w:tr>
    </w:tbl>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860" w:bottom="281" w:left="1720" w:header="720" w:footer="720" w:gutter="0"/>
          <w:cols w:space="720" w:equalWidth="0">
            <w:col w:w="966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14"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5</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720" w:equalWidth="0">
            <w:col w:w="112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5" w:name="page11"/>
      <w:bookmarkEnd w:id="5"/>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21"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560"/>
        <w:gridCol w:w="1320"/>
        <w:gridCol w:w="480"/>
        <w:gridCol w:w="460"/>
        <w:gridCol w:w="40"/>
        <w:gridCol w:w="740"/>
        <w:gridCol w:w="460"/>
        <w:gridCol w:w="420"/>
        <w:gridCol w:w="360"/>
        <w:gridCol w:w="460"/>
        <w:gridCol w:w="440"/>
        <w:gridCol w:w="340"/>
        <w:gridCol w:w="460"/>
        <w:gridCol w:w="20"/>
      </w:tblGrid>
      <w:tr w:rsidR="00000000">
        <w:tblPrEx>
          <w:tblCellMar>
            <w:top w:w="0" w:type="dxa"/>
            <w:left w:w="0" w:type="dxa"/>
            <w:bottom w:w="0" w:type="dxa"/>
            <w:right w:w="0" w:type="dxa"/>
          </w:tblCellMar>
        </w:tblPrEx>
        <w:trPr>
          <w:trHeight w:val="254"/>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Exhibit 3</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2120" w:type="dxa"/>
            <w:gridSpan w:val="5"/>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center"/>
              <w:rPr>
                <w:rFonts w:ascii="Times New Roman" w:hAnsi="Times New Roman" w:cs="Times New Roman"/>
                <w:sz w:val="24"/>
                <w:szCs w:val="24"/>
              </w:rPr>
            </w:pPr>
            <w:r>
              <w:rPr>
                <w:rFonts w:ascii="Arial" w:hAnsi="Arial" w:cs="Arial"/>
                <w:b/>
                <w:bCs/>
                <w:w w:val="99"/>
                <w:sz w:val="18"/>
                <w:szCs w:val="18"/>
              </w:rPr>
              <w:t>The Charter Company</w:t>
            </w: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5180" w:type="dxa"/>
            <w:gridSpan w:val="10"/>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520"/>
              <w:rPr>
                <w:rFonts w:ascii="Times New Roman" w:hAnsi="Times New Roman" w:cs="Times New Roman"/>
                <w:sz w:val="24"/>
                <w:szCs w:val="24"/>
              </w:rPr>
            </w:pPr>
            <w:r>
              <w:rPr>
                <w:rFonts w:ascii="Arial" w:hAnsi="Arial" w:cs="Arial"/>
                <w:b/>
                <w:bCs/>
                <w:sz w:val="18"/>
                <w:szCs w:val="18"/>
              </w:rPr>
              <w:t>Schedules of Working Capital Provided by Operations</w:t>
            </w: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12"/>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860" w:type="dxa"/>
            <w:gridSpan w:val="9"/>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20"/>
              <w:jc w:val="center"/>
              <w:rPr>
                <w:rFonts w:ascii="Times New Roman" w:hAnsi="Times New Roman" w:cs="Times New Roman"/>
                <w:sz w:val="24"/>
                <w:szCs w:val="24"/>
              </w:rPr>
            </w:pPr>
            <w:r>
              <w:rPr>
                <w:rFonts w:ascii="Arial" w:hAnsi="Arial" w:cs="Arial"/>
                <w:b/>
                <w:bCs/>
                <w:w w:val="99"/>
                <w:sz w:val="18"/>
                <w:szCs w:val="18"/>
              </w:rPr>
              <w:t>Years Ended December 31</w:t>
            </w: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8"/>
        </w:trPr>
        <w:tc>
          <w:tcPr>
            <w:tcW w:w="3560" w:type="dxa"/>
            <w:vMerge w:val="restart"/>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Working capital provided by operations</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6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420"/>
              <w:jc w:val="center"/>
              <w:rPr>
                <w:rFonts w:ascii="Times New Roman" w:hAnsi="Times New Roman" w:cs="Times New Roman"/>
                <w:sz w:val="24"/>
                <w:szCs w:val="24"/>
              </w:rPr>
            </w:pPr>
            <w:r>
              <w:rPr>
                <w:rFonts w:ascii="Arial" w:hAnsi="Arial" w:cs="Arial"/>
                <w:sz w:val="18"/>
                <w:szCs w:val="18"/>
              </w:rPr>
              <w:t>(In thousands)</w:t>
            </w: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75"/>
        </w:trPr>
        <w:tc>
          <w:tcPr>
            <w:tcW w:w="3560" w:type="dxa"/>
            <w:vMerge/>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5"/>
                <w:szCs w:val="15"/>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Earnings from continuing operations....</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10"/>
              <w:jc w:val="right"/>
              <w:rPr>
                <w:rFonts w:ascii="Times New Roman" w:hAnsi="Times New Roman" w:cs="Times New Roman"/>
                <w:sz w:val="24"/>
                <w:szCs w:val="24"/>
              </w:rPr>
            </w:pPr>
            <w:r>
              <w:rPr>
                <w:rFonts w:ascii="Arial" w:hAnsi="Arial" w:cs="Arial"/>
                <w:sz w:val="18"/>
                <w:szCs w:val="18"/>
              </w:rPr>
              <w:t>$50,382</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$29,830</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$55,946</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$50,237</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$367,726</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Charges (credits) to earnings affecting</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working capital:</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Depreciation, depletion, and</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amortization..........................................</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10"/>
              <w:jc w:val="right"/>
              <w:rPr>
                <w:rFonts w:ascii="Times New Roman" w:hAnsi="Times New Roman" w:cs="Times New Roman"/>
                <w:sz w:val="24"/>
                <w:szCs w:val="24"/>
              </w:rPr>
            </w:pPr>
            <w:r>
              <w:rPr>
                <w:rFonts w:ascii="Arial" w:hAnsi="Arial" w:cs="Arial"/>
                <w:sz w:val="18"/>
                <w:szCs w:val="18"/>
              </w:rPr>
              <w:t>37,939</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36,074</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32,511</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35,085</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28,851</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Gain on exchange of investment in St.</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Joe Paper Company..............................</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90"/>
              <w:jc w:val="right"/>
              <w:rPr>
                <w:rFonts w:ascii="Times New Roman" w:hAnsi="Times New Roman" w:cs="Times New Roman"/>
                <w:sz w:val="24"/>
                <w:szCs w:val="24"/>
              </w:rPr>
            </w:pPr>
            <w:r>
              <w:rPr>
                <w:rFonts w:ascii="Arial" w:hAnsi="Arial" w:cs="Arial"/>
                <w:sz w:val="18"/>
                <w:szCs w:val="18"/>
              </w:rPr>
              <w:t>(17,125)</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Deferred income taxes and other.............</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90"/>
              <w:jc w:val="right"/>
              <w:rPr>
                <w:rFonts w:ascii="Times New Roman" w:hAnsi="Times New Roman" w:cs="Times New Roman"/>
                <w:sz w:val="24"/>
                <w:szCs w:val="24"/>
              </w:rPr>
            </w:pPr>
            <w:r>
              <w:rPr>
                <w:rFonts w:ascii="Arial" w:hAnsi="Arial" w:cs="Arial"/>
                <w:sz w:val="18"/>
                <w:szCs w:val="18"/>
              </w:rPr>
              <w:t>7,850</w:t>
            </w:r>
          </w:p>
        </w:tc>
        <w:tc>
          <w:tcPr>
            <w:tcW w:w="98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40"/>
              <w:jc w:val="right"/>
              <w:rPr>
                <w:rFonts w:ascii="Times New Roman" w:hAnsi="Times New Roman" w:cs="Times New Roman"/>
                <w:sz w:val="24"/>
                <w:szCs w:val="24"/>
              </w:rPr>
            </w:pPr>
            <w:r>
              <w:rPr>
                <w:rFonts w:ascii="Arial" w:hAnsi="Arial" w:cs="Arial"/>
                <w:sz w:val="18"/>
                <w:szCs w:val="18"/>
              </w:rPr>
              <w:t>(7,631)</w:t>
            </w:r>
          </w:p>
        </w:tc>
        <w:tc>
          <w:tcPr>
            <w:tcW w:w="16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420"/>
              <w:jc w:val="right"/>
              <w:rPr>
                <w:rFonts w:ascii="Times New Roman" w:hAnsi="Times New Roman" w:cs="Times New Roman"/>
                <w:sz w:val="24"/>
                <w:szCs w:val="24"/>
              </w:rPr>
            </w:pPr>
            <w:r>
              <w:rPr>
                <w:rFonts w:ascii="Arial" w:hAnsi="Arial" w:cs="Arial"/>
                <w:sz w:val="18"/>
                <w:szCs w:val="18"/>
              </w:rPr>
              <w:t>4,254</w:t>
            </w:r>
          </w:p>
        </w:tc>
        <w:tc>
          <w:tcPr>
            <w:tcW w:w="126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440"/>
              <w:jc w:val="right"/>
              <w:rPr>
                <w:rFonts w:ascii="Times New Roman" w:hAnsi="Times New Roman" w:cs="Times New Roman"/>
                <w:sz w:val="24"/>
                <w:szCs w:val="24"/>
              </w:rPr>
            </w:pPr>
            <w:r>
              <w:rPr>
                <w:rFonts w:ascii="Arial" w:hAnsi="Arial" w:cs="Arial"/>
                <w:sz w:val="18"/>
                <w:szCs w:val="18"/>
              </w:rPr>
              <w:t>1,928</w:t>
            </w: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4,843</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Equity in net earnings of Charter Life</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60"/>
              <w:rPr>
                <w:rFonts w:ascii="Times New Roman" w:hAnsi="Times New Roman" w:cs="Times New Roman"/>
                <w:sz w:val="24"/>
                <w:szCs w:val="24"/>
              </w:rPr>
            </w:pPr>
            <w:r>
              <w:rPr>
                <w:rFonts w:ascii="Arial" w:hAnsi="Arial" w:cs="Arial"/>
                <w:sz w:val="18"/>
                <w:szCs w:val="18"/>
              </w:rPr>
              <w:t>and other affiliates................................</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90"/>
              <w:jc w:val="right"/>
              <w:rPr>
                <w:rFonts w:ascii="Times New Roman" w:hAnsi="Times New Roman" w:cs="Times New Roman"/>
                <w:sz w:val="24"/>
                <w:szCs w:val="24"/>
              </w:rPr>
            </w:pPr>
            <w:r>
              <w:rPr>
                <w:rFonts w:ascii="Arial" w:hAnsi="Arial" w:cs="Arial"/>
                <w:sz w:val="18"/>
                <w:szCs w:val="18"/>
              </w:rPr>
              <w:t>(117,958)</w:t>
            </w:r>
          </w:p>
        </w:tc>
        <w:tc>
          <w:tcPr>
            <w:tcW w:w="98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40"/>
              <w:jc w:val="right"/>
              <w:rPr>
                <w:rFonts w:ascii="Times New Roman" w:hAnsi="Times New Roman" w:cs="Times New Roman"/>
                <w:sz w:val="24"/>
                <w:szCs w:val="24"/>
              </w:rPr>
            </w:pPr>
            <w:r>
              <w:rPr>
                <w:rFonts w:ascii="Arial" w:hAnsi="Arial" w:cs="Arial"/>
                <w:sz w:val="18"/>
                <w:szCs w:val="18"/>
              </w:rPr>
              <w:t>(43,402)</w:t>
            </w:r>
          </w:p>
        </w:tc>
        <w:tc>
          <w:tcPr>
            <w:tcW w:w="162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420"/>
              <w:jc w:val="right"/>
              <w:rPr>
                <w:rFonts w:ascii="Times New Roman" w:hAnsi="Times New Roman" w:cs="Times New Roman"/>
                <w:sz w:val="24"/>
                <w:szCs w:val="24"/>
              </w:rPr>
            </w:pPr>
            <w:r>
              <w:rPr>
                <w:rFonts w:ascii="Arial" w:hAnsi="Arial" w:cs="Arial"/>
                <w:sz w:val="18"/>
                <w:szCs w:val="18"/>
              </w:rPr>
              <w:t>(14,080)</w:t>
            </w:r>
          </w:p>
        </w:tc>
        <w:tc>
          <w:tcPr>
            <w:tcW w:w="1260" w:type="dxa"/>
            <w:gridSpan w:val="3"/>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440"/>
              <w:jc w:val="right"/>
              <w:rPr>
                <w:rFonts w:ascii="Times New Roman" w:hAnsi="Times New Roman" w:cs="Times New Roman"/>
                <w:sz w:val="24"/>
                <w:szCs w:val="24"/>
              </w:rPr>
            </w:pPr>
            <w:r>
              <w:rPr>
                <w:rFonts w:ascii="Arial" w:hAnsi="Arial" w:cs="Arial"/>
                <w:sz w:val="18"/>
                <w:szCs w:val="18"/>
              </w:rPr>
              <w:t>(661)</w:t>
            </w: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(2,357)</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Equity in net losses of Bahamas refinery</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affiliates included in cost of sales...........</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10"/>
              <w:jc w:val="right"/>
              <w:rPr>
                <w:rFonts w:ascii="Times New Roman" w:hAnsi="Times New Roman" w:cs="Times New Roman"/>
                <w:sz w:val="24"/>
                <w:szCs w:val="24"/>
              </w:rPr>
            </w:pPr>
            <w:r>
              <w:rPr>
                <w:rFonts w:ascii="Arial" w:hAnsi="Arial" w:cs="Arial"/>
                <w:sz w:val="18"/>
                <w:szCs w:val="18"/>
              </w:rPr>
              <w:t>12,511</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18,542</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27,548</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16,775</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10,376</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Write-off of certain units in Bahamas</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4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0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refinery..................................................</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10"/>
              <w:jc w:val="right"/>
              <w:rPr>
                <w:rFonts w:ascii="Times New Roman" w:hAnsi="Times New Roman" w:cs="Times New Roman"/>
                <w:sz w:val="24"/>
                <w:szCs w:val="24"/>
              </w:rPr>
            </w:pPr>
            <w:r>
              <w:rPr>
                <w:rFonts w:ascii="Arial" w:hAnsi="Arial" w:cs="Arial"/>
                <w:sz w:val="18"/>
                <w:szCs w:val="18"/>
              </w:rPr>
              <w:t>49,428</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19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rPr>
                <w:rFonts w:ascii="Times New Roman" w:hAnsi="Times New Roman" w:cs="Times New Roman"/>
                <w:sz w:val="24"/>
                <w:szCs w:val="24"/>
              </w:rPr>
            </w:pPr>
            <w:r>
              <w:rPr>
                <w:rFonts w:ascii="Arial" w:hAnsi="Arial" w:cs="Arial"/>
                <w:sz w:val="18"/>
                <w:szCs w:val="18"/>
              </w:rPr>
              <w:t>Write-down of tanker...............................</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ind w:right="190"/>
              <w:jc w:val="right"/>
              <w:rPr>
                <w:rFonts w:ascii="Times New Roman" w:hAnsi="Times New Roman" w:cs="Times New Roman"/>
                <w:sz w:val="24"/>
                <w:szCs w:val="24"/>
              </w:rPr>
            </w:pPr>
            <w:r>
              <w:rPr>
                <w:rFonts w:ascii="Arial" w:hAnsi="Arial" w:cs="Arial"/>
                <w:sz w:val="18"/>
                <w:szCs w:val="18"/>
                <w:u w:val="single"/>
              </w:rPr>
              <w:t>7,772</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198" w:lineRule="exact"/>
              <w:jc w:val="right"/>
              <w:rPr>
                <w:rFonts w:ascii="Times New Roman" w:hAnsi="Times New Roman" w:cs="Times New Roman"/>
                <w:sz w:val="24"/>
                <w:szCs w:val="24"/>
              </w:rPr>
            </w:pPr>
            <w:r>
              <w:rPr>
                <w:rFonts w:ascii="Arial" w:hAnsi="Arial" w:cs="Arial"/>
                <w:sz w:val="18"/>
                <w:szCs w:val="18"/>
              </w:rPr>
              <w:t>-</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86"/>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Total working capital provided by</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60" w:type="dxa"/>
            <w:tcBorders>
              <w:top w:val="single" w:sz="8" w:space="0" w:color="auto"/>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7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60" w:type="dxa"/>
            <w:tcBorders>
              <w:top w:val="single" w:sz="8" w:space="0" w:color="auto"/>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60" w:type="dxa"/>
            <w:tcBorders>
              <w:top w:val="single" w:sz="8" w:space="0" w:color="auto"/>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3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460" w:type="dxa"/>
            <w:tcBorders>
              <w:top w:val="single" w:sz="8" w:space="0" w:color="auto"/>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r w:rsidR="00000000">
        <w:tblPrEx>
          <w:tblCellMar>
            <w:top w:w="0" w:type="dxa"/>
            <w:left w:w="0" w:type="dxa"/>
            <w:bottom w:w="0" w:type="dxa"/>
            <w:right w:w="0" w:type="dxa"/>
          </w:tblCellMar>
        </w:tblPrEx>
        <w:trPr>
          <w:trHeight w:val="239"/>
        </w:trPr>
        <w:tc>
          <w:tcPr>
            <w:tcW w:w="35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operations.............................................</w:t>
            </w:r>
          </w:p>
        </w:tc>
        <w:tc>
          <w:tcPr>
            <w:tcW w:w="13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10"/>
              <w:jc w:val="right"/>
              <w:rPr>
                <w:rFonts w:ascii="Times New Roman" w:hAnsi="Times New Roman" w:cs="Times New Roman"/>
                <w:sz w:val="24"/>
                <w:szCs w:val="24"/>
              </w:rPr>
            </w:pPr>
            <w:r>
              <w:rPr>
                <w:rFonts w:ascii="Arial" w:hAnsi="Arial" w:cs="Arial"/>
                <w:sz w:val="18"/>
                <w:szCs w:val="18"/>
                <w:u w:val="single"/>
              </w:rPr>
              <w:t>$30,799</w:t>
            </w:r>
          </w:p>
        </w:tc>
        <w:tc>
          <w:tcPr>
            <w:tcW w:w="94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$33,413</w:t>
            </w:r>
          </w:p>
        </w:tc>
        <w:tc>
          <w:tcPr>
            <w:tcW w:w="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12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$106,179</w:t>
            </w:r>
          </w:p>
        </w:tc>
        <w:tc>
          <w:tcPr>
            <w:tcW w:w="4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82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$103,364</w:t>
            </w:r>
          </w:p>
        </w:tc>
        <w:tc>
          <w:tcPr>
            <w:tcW w:w="44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0"/>
                <w:szCs w:val="20"/>
              </w:rPr>
            </w:pPr>
          </w:p>
        </w:tc>
        <w:tc>
          <w:tcPr>
            <w:tcW w:w="800" w:type="dxa"/>
            <w:gridSpan w:val="2"/>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u w:val="single"/>
              </w:rPr>
              <w:t>$409,439</w:t>
            </w:r>
          </w:p>
        </w:tc>
        <w:tc>
          <w:tcPr>
            <w:tcW w:w="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
                <w:szCs w:val="2"/>
              </w:rPr>
            </w:pPr>
          </w:p>
        </w:tc>
      </w:tr>
    </w:tbl>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980" w:bottom="281" w:left="1720" w:header="720" w:footer="720" w:gutter="0"/>
          <w:cols w:space="720" w:equalWidth="0">
            <w:col w:w="954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337"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6</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720" w:equalWidth="0">
            <w:col w:w="112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6" w:name="page13"/>
      <w:bookmarkEnd w:id="6"/>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348"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Exhibit 4</w:t>
      </w:r>
    </w:p>
    <w:p w:rsidR="00000000" w:rsidRDefault="0060774B">
      <w:pPr>
        <w:pStyle w:val="a0"/>
        <w:widowControl w:val="0"/>
        <w:autoSpaceDE w:val="0"/>
        <w:autoSpaceDN w:val="0"/>
        <w:adjustRightInd w:val="0"/>
        <w:spacing w:after="0" w:line="97"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3340"/>
        <w:rPr>
          <w:rFonts w:ascii="Times New Roman" w:hAnsi="Times New Roman" w:cs="Times New Roman"/>
          <w:sz w:val="24"/>
          <w:szCs w:val="24"/>
        </w:rPr>
      </w:pPr>
      <w:r>
        <w:rPr>
          <w:rFonts w:ascii="Arial" w:hAnsi="Arial" w:cs="Arial"/>
          <w:b/>
          <w:bCs/>
        </w:rPr>
        <w:t>THE CHARTER COMPANY</w:t>
      </w:r>
    </w:p>
    <w:p w:rsidR="00000000" w:rsidRDefault="0060774B">
      <w:pPr>
        <w:pStyle w:val="a0"/>
        <w:widowControl w:val="0"/>
        <w:autoSpaceDE w:val="0"/>
        <w:autoSpaceDN w:val="0"/>
        <w:adjustRightInd w:val="0"/>
        <w:spacing w:after="0" w:line="201"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2420"/>
        <w:rPr>
          <w:rFonts w:ascii="Times New Roman" w:hAnsi="Times New Roman" w:cs="Times New Roman"/>
          <w:sz w:val="24"/>
          <w:szCs w:val="24"/>
        </w:rPr>
      </w:pPr>
      <w:r>
        <w:rPr>
          <w:rFonts w:ascii="Arial" w:hAnsi="Arial" w:cs="Arial"/>
          <w:b/>
          <w:bCs/>
        </w:rPr>
        <w:t>Selected Notes of 1983 Financial Statements</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52" w:lineRule="exact"/>
        <w:rPr>
          <w:rFonts w:ascii="Times New Roman" w:hAnsi="Times New Roman" w:cs="Times New Roman"/>
          <w:sz w:val="24"/>
          <w:szCs w:val="24"/>
        </w:rPr>
      </w:pPr>
    </w:p>
    <w:p w:rsidR="00000000" w:rsidRDefault="0060774B">
      <w:pPr>
        <w:pStyle w:val="a0"/>
        <w:widowControl w:val="0"/>
        <w:numPr>
          <w:ilvl w:val="0"/>
          <w:numId w:val="2"/>
        </w:numPr>
        <w:overflowPunct w:val="0"/>
        <w:autoSpaceDE w:val="0"/>
        <w:autoSpaceDN w:val="0"/>
        <w:adjustRightInd w:val="0"/>
        <w:spacing w:after="0" w:line="240" w:lineRule="auto"/>
        <w:ind w:hanging="712"/>
        <w:jc w:val="both"/>
        <w:rPr>
          <w:rFonts w:ascii="Arial" w:hAnsi="Arial" w:cs="Arial"/>
          <w:b/>
          <w:bCs/>
        </w:rPr>
      </w:pPr>
      <w:r>
        <w:rPr>
          <w:rFonts w:ascii="Arial" w:hAnsi="Arial" w:cs="Arial"/>
          <w:b/>
          <w:bCs/>
        </w:rPr>
        <w:t xml:space="preserve">Significant Accounting Policies and Other </w:t>
      </w:r>
    </w:p>
    <w:p w:rsidR="00000000" w:rsidRDefault="0060774B">
      <w:pPr>
        <w:pStyle w:val="a0"/>
        <w:widowControl w:val="0"/>
        <w:autoSpaceDE w:val="0"/>
        <w:autoSpaceDN w:val="0"/>
        <w:adjustRightInd w:val="0"/>
        <w:spacing w:after="0" w:line="203" w:lineRule="exact"/>
        <w:rPr>
          <w:rFonts w:ascii="Times New Roman" w:hAnsi="Times New Roman" w:cs="Times New Roman"/>
          <w:sz w:val="24"/>
          <w:szCs w:val="24"/>
        </w:rPr>
      </w:pPr>
    </w:p>
    <w:p w:rsidR="00000000" w:rsidRDefault="0060774B">
      <w:pPr>
        <w:pStyle w:val="a0"/>
        <w:widowControl w:val="0"/>
        <w:numPr>
          <w:ilvl w:val="0"/>
          <w:numId w:val="3"/>
        </w:numPr>
        <w:overflowPunct w:val="0"/>
        <w:autoSpaceDE w:val="0"/>
        <w:autoSpaceDN w:val="0"/>
        <w:adjustRightInd w:val="0"/>
        <w:spacing w:after="0" w:line="245" w:lineRule="auto"/>
        <w:ind w:hanging="712"/>
        <w:jc w:val="both"/>
        <w:rPr>
          <w:rFonts w:ascii="Arial" w:hAnsi="Arial" w:cs="Arial"/>
          <w:b/>
          <w:bCs/>
        </w:rPr>
      </w:pPr>
      <w:r>
        <w:rPr>
          <w:rFonts w:ascii="Arial" w:hAnsi="Arial" w:cs="Arial"/>
          <w:b/>
          <w:bCs/>
        </w:rPr>
        <w:t>Basis of Financial Presentation</w:t>
      </w:r>
      <w:r>
        <w:rPr>
          <w:rFonts w:ascii="Arial" w:hAnsi="Arial" w:cs="Arial"/>
        </w:rPr>
        <w:t>. The accompanying consolidated financial statements</w:t>
      </w:r>
      <w:r>
        <w:rPr>
          <w:rFonts w:ascii="Arial" w:hAnsi="Arial" w:cs="Arial"/>
          <w:b/>
          <w:bCs/>
        </w:rPr>
        <w:t xml:space="preserve"> </w:t>
      </w:r>
      <w:r>
        <w:rPr>
          <w:rFonts w:ascii="Arial" w:hAnsi="Arial" w:cs="Arial"/>
        </w:rPr>
        <w:t>include the accounts of The Charter Company and its majority-owned subsidiaries ("Charter") other than Charter Security Life Insurance Company (Louisiana) and subsidiaries ("Charter Security LIFE"), COFI</w:t>
      </w:r>
      <w:r>
        <w:rPr>
          <w:rFonts w:ascii="Arial" w:hAnsi="Arial" w:cs="Arial"/>
        </w:rPr>
        <w:t xml:space="preserve"> Credit Corporation ("COFI") and First Charter Savings Bank ("First Charter") which are accounted for by the equity method. Charter's Bahamas refinery affiliates and other affiliated companies, all 31% to 50% owned, are also accounted for by the equity met</w:t>
      </w:r>
      <w:r>
        <w:rPr>
          <w:rFonts w:ascii="Arial" w:hAnsi="Arial" w:cs="Arial"/>
        </w:rPr>
        <w:t xml:space="preserve">hod. All significant intercompany accounts and transactions for Charter have been eliminated in consolidation. </w:t>
      </w:r>
    </w:p>
    <w:p w:rsidR="00000000" w:rsidRDefault="0060774B">
      <w:pPr>
        <w:pStyle w:val="a0"/>
        <w:widowControl w:val="0"/>
        <w:autoSpaceDE w:val="0"/>
        <w:autoSpaceDN w:val="0"/>
        <w:adjustRightInd w:val="0"/>
        <w:spacing w:after="0" w:line="158" w:lineRule="exact"/>
        <w:rPr>
          <w:rFonts w:ascii="Arial" w:hAnsi="Arial" w:cs="Arial"/>
          <w:b/>
          <w:bCs/>
        </w:rPr>
      </w:pPr>
    </w:p>
    <w:p w:rsidR="00000000" w:rsidRDefault="0060774B">
      <w:pPr>
        <w:pStyle w:val="a0"/>
        <w:widowControl w:val="0"/>
        <w:numPr>
          <w:ilvl w:val="0"/>
          <w:numId w:val="3"/>
        </w:numPr>
        <w:overflowPunct w:val="0"/>
        <w:autoSpaceDE w:val="0"/>
        <w:autoSpaceDN w:val="0"/>
        <w:adjustRightInd w:val="0"/>
        <w:spacing w:after="0" w:line="243" w:lineRule="auto"/>
        <w:ind w:hanging="712"/>
        <w:jc w:val="both"/>
        <w:rPr>
          <w:rFonts w:ascii="Arial" w:hAnsi="Arial" w:cs="Arial"/>
          <w:b/>
          <w:bCs/>
        </w:rPr>
      </w:pPr>
      <w:r>
        <w:rPr>
          <w:rFonts w:ascii="Arial" w:hAnsi="Arial" w:cs="Arial"/>
          <w:b/>
          <w:bCs/>
        </w:rPr>
        <w:t xml:space="preserve">Inventories. </w:t>
      </w:r>
      <w:r>
        <w:rPr>
          <w:rFonts w:ascii="Arial" w:hAnsi="Arial" w:cs="Arial"/>
        </w:rPr>
        <w:t>Inventories are stated at the lower of cost or market. Certain petroleum</w:t>
      </w:r>
      <w:r>
        <w:rPr>
          <w:rFonts w:ascii="Arial" w:hAnsi="Arial" w:cs="Arial"/>
          <w:b/>
          <w:bCs/>
        </w:rPr>
        <w:t xml:space="preserve"> </w:t>
      </w:r>
      <w:r>
        <w:rPr>
          <w:rFonts w:ascii="Arial" w:hAnsi="Arial" w:cs="Arial"/>
        </w:rPr>
        <w:t>inventories aggregating $115,242,000 at December 31, 1983 and $83,664,000 at December 31, 1982 were determined under the last-in, first-out method ("LIFO"). Such petroleum inventories, if stated at current costs, would have been $41,554,000 and $48,051,000</w:t>
      </w:r>
      <w:r>
        <w:rPr>
          <w:rFonts w:ascii="Arial" w:hAnsi="Arial" w:cs="Arial"/>
        </w:rPr>
        <w:t xml:space="preserve"> higher, respectively. If the first-in, first-out method ("FIFO") of inventory valuation had been used for such inventories, reported net earnings would have been lower by $6,497,000 ($a.28 primary and fully diluted earnings per share) for 1983., $6,015,00</w:t>
      </w:r>
      <w:r>
        <w:rPr>
          <w:rFonts w:ascii="Arial" w:hAnsi="Arial" w:cs="Arial"/>
        </w:rPr>
        <w:t>0 ($.21 primary and fully diluted earnings per share) for 1982 and $12,750,000 ($.45 primary and fully diluted earnings per share) for 1981. The cost of the remaining petroleum and other inventories is determined under the FIFO method. Crude oil and produc</w:t>
      </w:r>
      <w:r>
        <w:rPr>
          <w:rFonts w:ascii="Arial" w:hAnsi="Arial" w:cs="Arial"/>
        </w:rPr>
        <w:t xml:space="preserve">t exchange balances are reflected in petroleum inventories. </w:t>
      </w:r>
    </w:p>
    <w:p w:rsidR="00000000" w:rsidRDefault="0060774B">
      <w:pPr>
        <w:pStyle w:val="a0"/>
        <w:widowControl w:val="0"/>
        <w:autoSpaceDE w:val="0"/>
        <w:autoSpaceDN w:val="0"/>
        <w:adjustRightInd w:val="0"/>
        <w:spacing w:after="0" w:line="166" w:lineRule="exact"/>
        <w:rPr>
          <w:rFonts w:ascii="Arial" w:hAnsi="Arial" w:cs="Arial"/>
          <w:b/>
          <w:bCs/>
        </w:rPr>
      </w:pPr>
    </w:p>
    <w:p w:rsidR="00000000" w:rsidRDefault="0060774B">
      <w:pPr>
        <w:pStyle w:val="a0"/>
        <w:widowControl w:val="0"/>
        <w:overflowPunct w:val="0"/>
        <w:autoSpaceDE w:val="0"/>
        <w:autoSpaceDN w:val="0"/>
        <w:adjustRightInd w:val="0"/>
        <w:spacing w:after="0" w:line="244" w:lineRule="auto"/>
        <w:ind w:left="720"/>
        <w:jc w:val="both"/>
        <w:rPr>
          <w:rFonts w:ascii="Arial" w:hAnsi="Arial" w:cs="Arial"/>
          <w:b/>
          <w:bCs/>
        </w:rPr>
      </w:pPr>
      <w:r>
        <w:rPr>
          <w:rFonts w:ascii="Arial" w:hAnsi="Arial" w:cs="Arial"/>
        </w:rPr>
        <w:t>Certain petroleum inventories at December 31, 1983 were less than inventory levels at December 31, 1982 or the date of acquisition resulting in a liquidation of LIFO layers which were carried a</w:t>
      </w:r>
      <w:r>
        <w:rPr>
          <w:rFonts w:ascii="Arial" w:hAnsi="Arial" w:cs="Arial"/>
        </w:rPr>
        <w:t>t lower costs. If such inventories had replaced at current costs, net earnings for 1983 would have been lower by approximately $12,803,000 ($.56 primary and fully diluted earnings per share). Certain petroleum inventories at December 31, 1981 were less tha</w:t>
      </w:r>
      <w:r>
        <w:rPr>
          <w:rFonts w:ascii="Arial" w:hAnsi="Arial" w:cs="Arial"/>
        </w:rPr>
        <w:t>n prior year levels resulting in a liquidation of prior years' LIFO layers which were carried at lower costs. If such inventories had been replaced at current costs, net earnings for 1981 would have been lower by approximately $15,686,000 ($.56 primary and</w:t>
      </w:r>
      <w:r>
        <w:rPr>
          <w:rFonts w:ascii="Arial" w:hAnsi="Arial" w:cs="Arial"/>
        </w:rPr>
        <w:t xml:space="preserve"> fully diluted earnings per share). </w:t>
      </w:r>
    </w:p>
    <w:p w:rsidR="00000000" w:rsidRDefault="0060774B">
      <w:pPr>
        <w:pStyle w:val="a0"/>
        <w:widowControl w:val="0"/>
        <w:autoSpaceDE w:val="0"/>
        <w:autoSpaceDN w:val="0"/>
        <w:adjustRightInd w:val="0"/>
        <w:spacing w:after="0" w:line="158" w:lineRule="exact"/>
        <w:rPr>
          <w:rFonts w:ascii="Arial" w:hAnsi="Arial" w:cs="Arial"/>
          <w:b/>
          <w:bCs/>
        </w:rPr>
      </w:pPr>
    </w:p>
    <w:p w:rsidR="00000000" w:rsidRDefault="0060774B">
      <w:pPr>
        <w:pStyle w:val="a0"/>
        <w:widowControl w:val="0"/>
        <w:numPr>
          <w:ilvl w:val="0"/>
          <w:numId w:val="4"/>
        </w:numPr>
        <w:overflowPunct w:val="0"/>
        <w:autoSpaceDE w:val="0"/>
        <w:autoSpaceDN w:val="0"/>
        <w:adjustRightInd w:val="0"/>
        <w:spacing w:after="0" w:line="244" w:lineRule="auto"/>
        <w:ind w:hanging="713"/>
        <w:jc w:val="both"/>
        <w:rPr>
          <w:rFonts w:ascii="Arial" w:hAnsi="Arial" w:cs="Arial"/>
          <w:b/>
          <w:bCs/>
        </w:rPr>
      </w:pPr>
      <w:r>
        <w:rPr>
          <w:rFonts w:ascii="Arial" w:hAnsi="Arial" w:cs="Arial"/>
          <w:b/>
          <w:bCs/>
        </w:rPr>
        <w:t xml:space="preserve">Change in Accounting Principle. </w:t>
      </w:r>
      <w:r>
        <w:rPr>
          <w:rFonts w:ascii="Arial" w:hAnsi="Arial" w:cs="Arial"/>
        </w:rPr>
        <w:t>Effective January 1, 1983, Charter changed its accounting</w:t>
      </w:r>
      <w:r>
        <w:rPr>
          <w:rFonts w:ascii="Arial" w:hAnsi="Arial" w:cs="Arial"/>
          <w:b/>
          <w:bCs/>
        </w:rPr>
        <w:t xml:space="preserve"> </w:t>
      </w:r>
      <w:r>
        <w:rPr>
          <w:rFonts w:ascii="Arial" w:hAnsi="Arial" w:cs="Arial"/>
        </w:rPr>
        <w:t>method of expensing the cost of spare parts at the Houston refinery to inventorying the spare parts and changing the cost to</w:t>
      </w:r>
      <w:r>
        <w:rPr>
          <w:rFonts w:ascii="Arial" w:hAnsi="Arial" w:cs="Arial"/>
        </w:rPr>
        <w:t xml:space="preserve"> operations as utilized. This change was made to improve the matching of costs of spare parts to the benefits derived from their usage and establish financial control over these items. Net earnings for the first quarter of 1983 have been restated by $5,463</w:t>
      </w:r>
      <w:r>
        <w:rPr>
          <w:rFonts w:ascii="Arial" w:hAnsi="Arial" w:cs="Arial"/>
        </w:rPr>
        <w:t xml:space="preserve">,000 to reflect the cumulative effect of the change on prior years. The effect of this change was not material to 1983 earnings from continuing operations. The pro forma and cumulative effects on net earnings of prior years is not determinable because the </w:t>
      </w:r>
      <w:r>
        <w:rPr>
          <w:rFonts w:ascii="Arial" w:hAnsi="Arial" w:cs="Arial"/>
        </w:rPr>
        <w:t xml:space="preserve">necessary data is unavailable. </w:t>
      </w:r>
    </w:p>
    <w:p w:rsidR="00000000" w:rsidRDefault="0060774B">
      <w:pPr>
        <w:pStyle w:val="a0"/>
        <w:widowControl w:val="0"/>
        <w:autoSpaceDE w:val="0"/>
        <w:autoSpaceDN w:val="0"/>
        <w:adjustRightInd w:val="0"/>
        <w:spacing w:after="0" w:line="161" w:lineRule="exact"/>
        <w:rPr>
          <w:rFonts w:ascii="Arial" w:hAnsi="Arial" w:cs="Arial"/>
          <w:b/>
          <w:bCs/>
        </w:rPr>
      </w:pPr>
    </w:p>
    <w:p w:rsidR="00000000" w:rsidRDefault="0060774B">
      <w:pPr>
        <w:pStyle w:val="a0"/>
        <w:widowControl w:val="0"/>
        <w:numPr>
          <w:ilvl w:val="0"/>
          <w:numId w:val="4"/>
        </w:numPr>
        <w:overflowPunct w:val="0"/>
        <w:autoSpaceDE w:val="0"/>
        <w:autoSpaceDN w:val="0"/>
        <w:adjustRightInd w:val="0"/>
        <w:spacing w:after="0" w:line="306" w:lineRule="auto"/>
        <w:ind w:hanging="712"/>
        <w:jc w:val="both"/>
        <w:rPr>
          <w:rFonts w:ascii="Arial" w:hAnsi="Arial" w:cs="Arial"/>
          <w:b/>
          <w:bCs/>
          <w:sz w:val="21"/>
          <w:szCs w:val="21"/>
        </w:rPr>
      </w:pPr>
      <w:r>
        <w:rPr>
          <w:rFonts w:ascii="Arial" w:hAnsi="Arial" w:cs="Arial"/>
          <w:b/>
          <w:bCs/>
          <w:sz w:val="21"/>
          <w:szCs w:val="21"/>
        </w:rPr>
        <w:t xml:space="preserve">Miscellaneous Policies. </w:t>
      </w:r>
      <w:r>
        <w:rPr>
          <w:rFonts w:ascii="Arial" w:hAnsi="Arial" w:cs="Arial"/>
          <w:sz w:val="21"/>
          <w:szCs w:val="21"/>
        </w:rPr>
        <w:t>Refining, marketing and other facilities are depreciated principally</w:t>
      </w:r>
      <w:r>
        <w:rPr>
          <w:rFonts w:ascii="Arial" w:hAnsi="Arial" w:cs="Arial"/>
          <w:b/>
          <w:bCs/>
          <w:sz w:val="21"/>
          <w:szCs w:val="21"/>
        </w:rPr>
        <w:t xml:space="preserve"> </w:t>
      </w:r>
      <w:r>
        <w:rPr>
          <w:rFonts w:ascii="Arial" w:hAnsi="Arial" w:cs="Arial"/>
          <w:sz w:val="21"/>
          <w:szCs w:val="21"/>
        </w:rPr>
        <w:t xml:space="preserve">by the straight-line method over their estimated useful lives. During 1983, Charter revised the </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860" w:bottom="281" w:left="1720" w:header="720" w:footer="720" w:gutter="0"/>
          <w:cols w:space="720" w:equalWidth="0">
            <w:col w:w="966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4"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7</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720" w:equalWidth="0">
            <w:col w:w="112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7" w:name="page15"/>
      <w:bookmarkEnd w:id="7"/>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70" w:lineRule="exact"/>
        <w:rPr>
          <w:rFonts w:ascii="Times New Roman" w:hAnsi="Times New Roman" w:cs="Times New Roman"/>
          <w:sz w:val="24"/>
          <w:szCs w:val="24"/>
        </w:rPr>
      </w:pPr>
    </w:p>
    <w:p w:rsidR="00000000" w:rsidRDefault="0060774B">
      <w:pPr>
        <w:pStyle w:val="a0"/>
        <w:widowControl w:val="0"/>
        <w:overflowPunct w:val="0"/>
        <w:autoSpaceDE w:val="0"/>
        <w:autoSpaceDN w:val="0"/>
        <w:adjustRightInd w:val="0"/>
        <w:spacing w:after="0" w:line="252" w:lineRule="auto"/>
        <w:ind w:left="720"/>
        <w:jc w:val="both"/>
        <w:rPr>
          <w:rFonts w:ascii="Times New Roman" w:hAnsi="Times New Roman" w:cs="Times New Roman"/>
          <w:sz w:val="24"/>
          <w:szCs w:val="24"/>
        </w:rPr>
      </w:pPr>
      <w:r>
        <w:rPr>
          <w:rFonts w:ascii="Arial" w:hAnsi="Arial" w:cs="Arial"/>
        </w:rPr>
        <w:t>estimated useful lives of certain property, plant and equipment. The effect of this change in accounting estimate was an increase in net earnings of $3,003,000 ($.13 primary and fully diluted ea</w:t>
      </w:r>
      <w:r>
        <w:rPr>
          <w:rFonts w:ascii="Arial" w:hAnsi="Arial" w:cs="Arial"/>
        </w:rPr>
        <w:t>rnings per share). During the fourth quarter of 1983, Charter renegotiated a contract and recorded a gain of $33,600,000.</w:t>
      </w:r>
    </w:p>
    <w:p w:rsidR="00000000" w:rsidRDefault="0060774B">
      <w:pPr>
        <w:pStyle w:val="a0"/>
        <w:widowControl w:val="0"/>
        <w:autoSpaceDE w:val="0"/>
        <w:autoSpaceDN w:val="0"/>
        <w:adjustRightInd w:val="0"/>
        <w:spacing w:after="0" w:line="144" w:lineRule="exact"/>
        <w:rPr>
          <w:rFonts w:ascii="Times New Roman" w:hAnsi="Times New Roman" w:cs="Times New Roman"/>
          <w:sz w:val="24"/>
          <w:szCs w:val="24"/>
        </w:rPr>
      </w:pPr>
    </w:p>
    <w:p w:rsidR="00000000" w:rsidRDefault="0060774B">
      <w:pPr>
        <w:pStyle w:val="a0"/>
        <w:widowControl w:val="0"/>
        <w:numPr>
          <w:ilvl w:val="0"/>
          <w:numId w:val="5"/>
        </w:numPr>
        <w:overflowPunct w:val="0"/>
        <w:autoSpaceDE w:val="0"/>
        <w:autoSpaceDN w:val="0"/>
        <w:adjustRightInd w:val="0"/>
        <w:spacing w:after="0" w:line="240" w:lineRule="auto"/>
        <w:ind w:hanging="712"/>
        <w:jc w:val="both"/>
        <w:rPr>
          <w:rFonts w:ascii="Arial" w:hAnsi="Arial" w:cs="Arial"/>
          <w:b/>
          <w:bCs/>
        </w:rPr>
      </w:pPr>
      <w:r>
        <w:rPr>
          <w:rFonts w:ascii="Arial" w:hAnsi="Arial" w:cs="Arial"/>
          <w:b/>
          <w:bCs/>
        </w:rPr>
        <w:t xml:space="preserve">Investment in Bahamas Refinery Affiliates </w:t>
      </w:r>
    </w:p>
    <w:p w:rsidR="00000000" w:rsidRDefault="0060774B">
      <w:pPr>
        <w:pStyle w:val="a0"/>
        <w:widowControl w:val="0"/>
        <w:autoSpaceDE w:val="0"/>
        <w:autoSpaceDN w:val="0"/>
        <w:adjustRightInd w:val="0"/>
        <w:spacing w:after="0" w:line="206" w:lineRule="exact"/>
        <w:rPr>
          <w:rFonts w:ascii="Arial" w:hAnsi="Arial" w:cs="Arial"/>
          <w:b/>
          <w:bCs/>
        </w:rPr>
      </w:pPr>
    </w:p>
    <w:p w:rsidR="00000000" w:rsidRDefault="0060774B">
      <w:pPr>
        <w:pStyle w:val="a0"/>
        <w:widowControl w:val="0"/>
        <w:overflowPunct w:val="0"/>
        <w:autoSpaceDE w:val="0"/>
        <w:autoSpaceDN w:val="0"/>
        <w:adjustRightInd w:val="0"/>
        <w:spacing w:after="0" w:line="254" w:lineRule="auto"/>
        <w:ind w:left="720"/>
        <w:jc w:val="both"/>
        <w:rPr>
          <w:rFonts w:ascii="Arial" w:hAnsi="Arial" w:cs="Arial"/>
          <w:b/>
          <w:bCs/>
        </w:rPr>
      </w:pPr>
      <w:r>
        <w:rPr>
          <w:rFonts w:ascii="Arial" w:hAnsi="Arial" w:cs="Arial"/>
          <w:sz w:val="21"/>
          <w:szCs w:val="21"/>
        </w:rPr>
        <w:t>Charter's investment in the Bahamas refinery affiliated includes three 50% owned joi</w:t>
      </w:r>
      <w:r>
        <w:rPr>
          <w:rFonts w:ascii="Arial" w:hAnsi="Arial" w:cs="Arial"/>
          <w:sz w:val="21"/>
          <w:szCs w:val="21"/>
        </w:rPr>
        <w:t>nt ventures: Bahamas Oil Refining Company ("BORCO"), BORCO Desulfurization Company ("BODCO") and BORCO Marine Company ("MARCO"). These joint ventures receive fees from the partners for use of the refinery and related facilities. The operations of these joi</w:t>
      </w:r>
      <w:r>
        <w:rPr>
          <w:rFonts w:ascii="Arial" w:hAnsi="Arial" w:cs="Arial"/>
          <w:sz w:val="21"/>
          <w:szCs w:val="21"/>
        </w:rPr>
        <w:t xml:space="preserve">nt ventures do not reflect the partners' purchases of crude oil, sales of refined products and processing or storage agreements with third parties. Charter's share of the net operating losses of these ventures was $12,511,000, $18,542,000 and $27,548,000, </w:t>
      </w:r>
      <w:r>
        <w:rPr>
          <w:rFonts w:ascii="Arial" w:hAnsi="Arial" w:cs="Arial"/>
          <w:sz w:val="21"/>
          <w:szCs w:val="21"/>
        </w:rPr>
        <w:t>for 1983, 1982 and 1981, respectively, including depreciation and amortization related to the excess of the appraised value over the historical cost of the assets allocated to property, plant and equipment at the time of the acquisition. charter's share of</w:t>
      </w:r>
      <w:r>
        <w:rPr>
          <w:rFonts w:ascii="Arial" w:hAnsi="Arial" w:cs="Arial"/>
          <w:sz w:val="21"/>
          <w:szCs w:val="21"/>
        </w:rPr>
        <w:t xml:space="preserve"> the losses of these ventures is recorded as cost of sales and operating expenses in its consolidated statements of earnings because these joint ventures are part of Charter's crude oil refining system. In addition, BARCO and BODCO wrote-off certain units </w:t>
      </w:r>
      <w:r>
        <w:rPr>
          <w:rFonts w:ascii="Arial" w:hAnsi="Arial" w:cs="Arial"/>
          <w:sz w:val="21"/>
          <w:szCs w:val="21"/>
        </w:rPr>
        <w:t xml:space="preserve">during 1983 since use of such units is not anticipated in the foreseeable future. Charter's share of the write-off plus the write-off of the related excess of the appraised value over the historical cost of these asses was $49,428,000. </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860" w:bottom="281" w:left="1720" w:header="720" w:footer="720" w:gutter="0"/>
          <w:cols w:space="720" w:equalWidth="0">
            <w:col w:w="9660"/>
          </w:cols>
          <w:noEndnote/>
        </w:sect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32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8</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860" w:bottom="281" w:left="10260" w:header="720" w:footer="720" w:gutter="0"/>
          <w:cols w:space="720" w:equalWidth="0">
            <w:col w:w="1120"/>
          </w:cols>
          <w:noEndnote/>
        </w:sect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bookmarkStart w:id="8" w:name="page17"/>
      <w:bookmarkEnd w:id="8"/>
      <w:r>
        <w:rPr>
          <w:rFonts w:ascii="Arial" w:hAnsi="Arial" w:cs="Arial"/>
          <w:b/>
          <w:bCs/>
        </w:rPr>
        <w:t>The Charter Company</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28"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rPr>
        <w:t>Exhibit 5</w: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sz w:val="24"/>
          <w:szCs w:val="24"/>
        </w:rPr>
        <w:br w:type="column"/>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82"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1660"/>
        <w:rPr>
          <w:rFonts w:ascii="Times New Roman" w:hAnsi="Times New Roman" w:cs="Times New Roman"/>
          <w:sz w:val="24"/>
          <w:szCs w:val="24"/>
        </w:rPr>
      </w:pPr>
      <w:r>
        <w:rPr>
          <w:rFonts w:ascii="Arial" w:hAnsi="Arial" w:cs="Arial"/>
          <w:b/>
          <w:bCs/>
          <w:sz w:val="18"/>
          <w:szCs w:val="18"/>
        </w:rPr>
        <w:t>The Charter Company</w:t>
      </w:r>
    </w:p>
    <w:p w:rsidR="00000000" w:rsidRDefault="0060774B">
      <w:pPr>
        <w:pStyle w:val="a0"/>
        <w:widowControl w:val="0"/>
        <w:autoSpaceDE w:val="0"/>
        <w:autoSpaceDN w:val="0"/>
        <w:adjustRightInd w:val="0"/>
        <w:spacing w:after="0" w:line="48"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17"/>
          <w:szCs w:val="17"/>
        </w:rPr>
        <w:t>Quarterly Earnings per Share, Cash Dividends, and Common</w:t>
      </w:r>
    </w:p>
    <w:p w:rsidR="00000000" w:rsidRDefault="0060774B">
      <w:pPr>
        <w:pStyle w:val="a0"/>
        <w:widowControl w:val="0"/>
        <w:autoSpaceDE w:val="0"/>
        <w:autoSpaceDN w:val="0"/>
        <w:adjustRightInd w:val="0"/>
        <w:spacing w:after="0" w:line="1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2080"/>
        <w:rPr>
          <w:rFonts w:ascii="Times New Roman" w:hAnsi="Times New Roman" w:cs="Times New Roman"/>
          <w:sz w:val="24"/>
          <w:szCs w:val="24"/>
        </w:rPr>
      </w:pPr>
      <w:r>
        <w:rPr>
          <w:rFonts w:ascii="Arial" w:hAnsi="Arial" w:cs="Arial"/>
          <w:b/>
          <w:bCs/>
          <w:sz w:val="18"/>
          <w:szCs w:val="18"/>
        </w:rPr>
        <w:t>Stock Price</w:t>
      </w:r>
    </w:p>
    <w:p w:rsidR="00000000" w:rsidRDefault="0060774B">
      <w:pPr>
        <w:pStyle w:val="a0"/>
        <w:widowControl w:val="0"/>
        <w:autoSpaceDE w:val="0"/>
        <w:autoSpaceDN w:val="0"/>
        <w:adjustRightInd w:val="0"/>
        <w:spacing w:after="0" w:line="18"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ind w:left="60"/>
        <w:rPr>
          <w:rFonts w:ascii="Times New Roman" w:hAnsi="Times New Roman" w:cs="Times New Roman"/>
          <w:sz w:val="24"/>
          <w:szCs w:val="24"/>
        </w:rPr>
      </w:pPr>
      <w:r>
        <w:rPr>
          <w:rFonts w:ascii="Arial" w:hAnsi="Arial" w:cs="Arial"/>
          <w:b/>
          <w:bCs/>
          <w:sz w:val="18"/>
          <w:szCs w:val="18"/>
        </w:rPr>
        <w:t>For the Fiscal Year 1983 and the First Two Quarters of 1984</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pgSz w:w="12240" w:h="15840"/>
          <w:pgMar w:top="698" w:right="1740" w:bottom="281" w:left="1720" w:header="720" w:footer="720" w:gutter="0"/>
          <w:cols w:num="2" w:space="1280" w:equalWidth="0">
            <w:col w:w="2300" w:space="1280"/>
            <w:col w:w="5200"/>
          </w:cols>
          <w:noEndnote/>
        </w:sectPr>
      </w:pPr>
    </w:p>
    <w:p w:rsidR="00000000" w:rsidRDefault="0060774B">
      <w:pPr>
        <w:pStyle w:val="a0"/>
        <w:widowControl w:val="0"/>
        <w:autoSpaceDE w:val="0"/>
        <w:autoSpaceDN w:val="0"/>
        <w:adjustRightInd w:val="0"/>
        <w:spacing w:after="0" w:line="190" w:lineRule="exact"/>
        <w:rPr>
          <w:rFonts w:ascii="Times New Roman" w:hAnsi="Times New Roman" w:cs="Times New Roman"/>
          <w:sz w:val="24"/>
          <w:szCs w:val="24"/>
        </w:rPr>
      </w:pPr>
    </w:p>
    <w:tbl>
      <w:tblPr>
        <w:tblW w:w="0" w:type="auto"/>
        <w:tblLayout w:type="fixed"/>
        <w:tblCellMar>
          <w:left w:w="0" w:type="dxa"/>
          <w:right w:w="0" w:type="dxa"/>
        </w:tblCellMar>
        <w:tblLook w:val="0000"/>
      </w:tblPr>
      <w:tblGrid>
        <w:gridCol w:w="3360"/>
        <w:gridCol w:w="920"/>
        <w:gridCol w:w="1060"/>
        <w:gridCol w:w="880"/>
        <w:gridCol w:w="980"/>
        <w:gridCol w:w="1020"/>
        <w:gridCol w:w="800"/>
      </w:tblGrid>
      <w:tr w:rsidR="00000000">
        <w:tblPrEx>
          <w:tblCellMar>
            <w:top w:w="0" w:type="dxa"/>
            <w:left w:w="0" w:type="dxa"/>
            <w:bottom w:w="0" w:type="dxa"/>
            <w:right w:w="0" w:type="dxa"/>
          </w:tblCellMar>
        </w:tblPrEx>
        <w:trPr>
          <w:trHeight w:val="207"/>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b/>
                <w:bCs/>
                <w:sz w:val="18"/>
                <w:szCs w:val="18"/>
                <w:u w:val="single"/>
              </w:rPr>
              <w:t>1983</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b/>
                <w:bCs/>
                <w:sz w:val="18"/>
                <w:szCs w:val="18"/>
                <w:u w:val="single"/>
              </w:rPr>
              <w:t>1984</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10"/>
              <w:jc w:val="right"/>
              <w:rPr>
                <w:rFonts w:ascii="Times New Roman" w:hAnsi="Times New Roman" w:cs="Times New Roman"/>
                <w:sz w:val="24"/>
                <w:szCs w:val="24"/>
              </w:rPr>
            </w:pPr>
            <w:r>
              <w:rPr>
                <w:rFonts w:ascii="Arial" w:hAnsi="Arial" w:cs="Arial"/>
                <w:b/>
                <w:bCs/>
                <w:sz w:val="18"/>
                <w:szCs w:val="18"/>
              </w:rPr>
              <w:t>First</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10"/>
              <w:jc w:val="right"/>
              <w:rPr>
                <w:rFonts w:ascii="Times New Roman" w:hAnsi="Times New Roman" w:cs="Times New Roman"/>
                <w:sz w:val="24"/>
                <w:szCs w:val="24"/>
              </w:rPr>
            </w:pPr>
            <w:r>
              <w:rPr>
                <w:rFonts w:ascii="Arial" w:hAnsi="Arial" w:cs="Arial"/>
                <w:b/>
                <w:bCs/>
                <w:sz w:val="18"/>
                <w:szCs w:val="18"/>
              </w:rPr>
              <w:t>Second</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230"/>
              <w:jc w:val="right"/>
              <w:rPr>
                <w:rFonts w:ascii="Times New Roman" w:hAnsi="Times New Roman" w:cs="Times New Roman"/>
                <w:sz w:val="24"/>
                <w:szCs w:val="24"/>
              </w:rPr>
            </w:pPr>
            <w:r>
              <w:rPr>
                <w:rFonts w:ascii="Arial" w:hAnsi="Arial" w:cs="Arial"/>
                <w:b/>
                <w:bCs/>
                <w:sz w:val="18"/>
                <w:szCs w:val="18"/>
              </w:rPr>
              <w:t>Third</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50"/>
              <w:jc w:val="right"/>
              <w:rPr>
                <w:rFonts w:ascii="Times New Roman" w:hAnsi="Times New Roman" w:cs="Times New Roman"/>
                <w:sz w:val="24"/>
                <w:szCs w:val="24"/>
              </w:rPr>
            </w:pPr>
            <w:r>
              <w:rPr>
                <w:rFonts w:ascii="Arial" w:hAnsi="Arial" w:cs="Arial"/>
                <w:b/>
                <w:bCs/>
                <w:sz w:val="18"/>
                <w:szCs w:val="18"/>
              </w:rPr>
              <w:t>Fourth</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310"/>
              <w:jc w:val="right"/>
              <w:rPr>
                <w:rFonts w:ascii="Times New Roman" w:hAnsi="Times New Roman" w:cs="Times New Roman"/>
                <w:sz w:val="24"/>
                <w:szCs w:val="24"/>
              </w:rPr>
            </w:pPr>
            <w:r>
              <w:rPr>
                <w:rFonts w:ascii="Arial" w:hAnsi="Arial" w:cs="Arial"/>
                <w:b/>
                <w:bCs/>
                <w:sz w:val="18"/>
                <w:szCs w:val="18"/>
              </w:rPr>
              <w:t>First</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30"/>
              <w:jc w:val="right"/>
              <w:rPr>
                <w:rFonts w:ascii="Times New Roman" w:hAnsi="Times New Roman" w:cs="Times New Roman"/>
                <w:sz w:val="24"/>
                <w:szCs w:val="24"/>
              </w:rPr>
            </w:pPr>
            <w:r>
              <w:rPr>
                <w:rFonts w:ascii="Arial" w:hAnsi="Arial" w:cs="Arial"/>
                <w:b/>
                <w:bCs/>
                <w:sz w:val="18"/>
                <w:szCs w:val="18"/>
              </w:rPr>
              <w:t>Second</w:t>
            </w:r>
          </w:p>
        </w:tc>
      </w:tr>
      <w:tr w:rsidR="00000000">
        <w:tblPrEx>
          <w:tblCellMar>
            <w:top w:w="0" w:type="dxa"/>
            <w:left w:w="0" w:type="dxa"/>
            <w:bottom w:w="0" w:type="dxa"/>
            <w:right w:w="0" w:type="dxa"/>
          </w:tblCellMar>
        </w:tblPrEx>
        <w:trPr>
          <w:trHeight w:val="247"/>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1"/>
                <w:szCs w:val="21"/>
              </w:rPr>
            </w:pP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Arial" w:hAnsi="Arial" w:cs="Arial"/>
                <w:b/>
                <w:bCs/>
                <w:sz w:val="18"/>
                <w:szCs w:val="18"/>
              </w:rPr>
              <w:t>Quarter</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210"/>
              <w:jc w:val="right"/>
              <w:rPr>
                <w:rFonts w:ascii="Times New Roman" w:hAnsi="Times New Roman" w:cs="Times New Roman"/>
                <w:sz w:val="24"/>
                <w:szCs w:val="24"/>
              </w:rPr>
            </w:pPr>
            <w:r>
              <w:rPr>
                <w:rFonts w:ascii="Arial" w:hAnsi="Arial" w:cs="Arial"/>
                <w:b/>
                <w:bCs/>
                <w:sz w:val="18"/>
                <w:szCs w:val="18"/>
              </w:rPr>
              <w:t>Quarter</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30"/>
              <w:jc w:val="right"/>
              <w:rPr>
                <w:rFonts w:ascii="Times New Roman" w:hAnsi="Times New Roman" w:cs="Times New Roman"/>
                <w:sz w:val="24"/>
                <w:szCs w:val="24"/>
              </w:rPr>
            </w:pPr>
            <w:r>
              <w:rPr>
                <w:rFonts w:ascii="Arial" w:hAnsi="Arial" w:cs="Arial"/>
                <w:b/>
                <w:bCs/>
                <w:w w:val="98"/>
                <w:sz w:val="18"/>
                <w:szCs w:val="18"/>
              </w:rPr>
              <w:t>Quarter</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b/>
                <w:bCs/>
                <w:sz w:val="18"/>
                <w:szCs w:val="18"/>
              </w:rPr>
              <w:t>Quarter</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70"/>
              <w:jc w:val="right"/>
              <w:rPr>
                <w:rFonts w:ascii="Times New Roman" w:hAnsi="Times New Roman" w:cs="Times New Roman"/>
                <w:sz w:val="24"/>
                <w:szCs w:val="24"/>
              </w:rPr>
            </w:pPr>
            <w:r>
              <w:rPr>
                <w:rFonts w:ascii="Arial" w:hAnsi="Arial" w:cs="Arial"/>
                <w:b/>
                <w:bCs/>
                <w:sz w:val="18"/>
                <w:szCs w:val="18"/>
              </w:rPr>
              <w:t>Quarter</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Arial" w:hAnsi="Arial" w:cs="Arial"/>
                <w:b/>
                <w:bCs/>
                <w:sz w:val="18"/>
                <w:szCs w:val="18"/>
              </w:rPr>
              <w:t>Quarter</w:t>
            </w:r>
          </w:p>
        </w:tc>
      </w:tr>
      <w:tr w:rsidR="00000000">
        <w:tblPrEx>
          <w:tblCellMar>
            <w:top w:w="0" w:type="dxa"/>
            <w:left w:w="0" w:type="dxa"/>
            <w:bottom w:w="0" w:type="dxa"/>
            <w:right w:w="0" w:type="dxa"/>
          </w:tblCellMar>
        </w:tblPrEx>
        <w:trPr>
          <w:trHeight w:val="380"/>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Fully diluted earnings per share:</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tc>
      </w:tr>
      <w:tr w:rsidR="00000000">
        <w:tblPrEx>
          <w:tblCellMar>
            <w:top w:w="0" w:type="dxa"/>
            <w:left w:w="0" w:type="dxa"/>
            <w:bottom w:w="0" w:type="dxa"/>
            <w:right w:w="0" w:type="dxa"/>
          </w:tblCellMar>
        </w:tblPrEx>
        <w:trPr>
          <w:trHeight w:val="206"/>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From continuing operations.....................</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0"/>
              <w:jc w:val="right"/>
              <w:rPr>
                <w:rFonts w:ascii="Times New Roman" w:hAnsi="Times New Roman" w:cs="Times New Roman"/>
                <w:sz w:val="24"/>
                <w:szCs w:val="24"/>
              </w:rPr>
            </w:pPr>
            <w:r>
              <w:rPr>
                <w:rFonts w:ascii="Arial" w:hAnsi="Arial" w:cs="Arial"/>
                <w:sz w:val="18"/>
                <w:szCs w:val="18"/>
              </w:rPr>
              <w:t>$(0.31)</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70"/>
              <w:jc w:val="right"/>
              <w:rPr>
                <w:rFonts w:ascii="Times New Roman" w:hAnsi="Times New Roman" w:cs="Times New Roman"/>
                <w:sz w:val="24"/>
                <w:szCs w:val="24"/>
              </w:rPr>
            </w:pPr>
            <w:r>
              <w:rPr>
                <w:rFonts w:ascii="Arial" w:hAnsi="Arial" w:cs="Arial"/>
                <w:sz w:val="18"/>
                <w:szCs w:val="18"/>
              </w:rPr>
              <w:t>$0.51</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30"/>
              <w:jc w:val="right"/>
              <w:rPr>
                <w:rFonts w:ascii="Times New Roman" w:hAnsi="Times New Roman" w:cs="Times New Roman"/>
                <w:sz w:val="24"/>
                <w:szCs w:val="24"/>
              </w:rPr>
            </w:pPr>
            <w:r>
              <w:rPr>
                <w:rFonts w:ascii="Arial" w:hAnsi="Arial" w:cs="Arial"/>
                <w:sz w:val="18"/>
                <w:szCs w:val="18"/>
              </w:rPr>
              <w:t>$1.34</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0"/>
              <w:jc w:val="right"/>
              <w:rPr>
                <w:rFonts w:ascii="Times New Roman" w:hAnsi="Times New Roman" w:cs="Times New Roman"/>
                <w:sz w:val="24"/>
                <w:szCs w:val="24"/>
              </w:rPr>
            </w:pPr>
            <w:r>
              <w:rPr>
                <w:rFonts w:ascii="Arial" w:hAnsi="Arial" w:cs="Arial"/>
                <w:sz w:val="18"/>
                <w:szCs w:val="18"/>
              </w:rPr>
              <w:t>$0.23</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$(1.49)</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$(2.84)</w:t>
            </w:r>
          </w:p>
        </w:tc>
      </w:tr>
      <w:tr w:rsidR="00000000">
        <w:tblPrEx>
          <w:tblCellMar>
            <w:top w:w="0" w:type="dxa"/>
            <w:left w:w="0" w:type="dxa"/>
            <w:bottom w:w="0" w:type="dxa"/>
            <w:right w:w="0" w:type="dxa"/>
          </w:tblCellMar>
        </w:tblPrEx>
        <w:trPr>
          <w:trHeight w:val="206"/>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Net earnings............................................</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0"/>
              <w:jc w:val="right"/>
              <w:rPr>
                <w:rFonts w:ascii="Times New Roman" w:hAnsi="Times New Roman" w:cs="Times New Roman"/>
                <w:sz w:val="24"/>
                <w:szCs w:val="24"/>
              </w:rPr>
            </w:pPr>
            <w:r>
              <w:rPr>
                <w:rFonts w:ascii="Arial" w:hAnsi="Arial" w:cs="Arial"/>
                <w:sz w:val="18"/>
                <w:szCs w:val="18"/>
              </w:rPr>
              <w:t>(0.05)</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70"/>
              <w:jc w:val="right"/>
              <w:rPr>
                <w:rFonts w:ascii="Times New Roman" w:hAnsi="Times New Roman" w:cs="Times New Roman"/>
                <w:sz w:val="24"/>
                <w:szCs w:val="24"/>
              </w:rPr>
            </w:pPr>
            <w:r>
              <w:rPr>
                <w:rFonts w:ascii="Arial" w:hAnsi="Arial" w:cs="Arial"/>
                <w:sz w:val="18"/>
                <w:szCs w:val="18"/>
              </w:rPr>
              <w:t>0.43</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50"/>
              <w:jc w:val="right"/>
              <w:rPr>
                <w:rFonts w:ascii="Times New Roman" w:hAnsi="Times New Roman" w:cs="Times New Roman"/>
                <w:sz w:val="24"/>
                <w:szCs w:val="24"/>
              </w:rPr>
            </w:pPr>
            <w:r>
              <w:rPr>
                <w:rFonts w:ascii="Arial" w:hAnsi="Arial" w:cs="Arial"/>
                <w:sz w:val="18"/>
                <w:szCs w:val="18"/>
              </w:rPr>
              <w:t>1.34</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30"/>
              <w:jc w:val="right"/>
              <w:rPr>
                <w:rFonts w:ascii="Times New Roman" w:hAnsi="Times New Roman" w:cs="Times New Roman"/>
                <w:sz w:val="24"/>
                <w:szCs w:val="24"/>
              </w:rPr>
            </w:pPr>
            <w:r>
              <w:rPr>
                <w:rFonts w:ascii="Arial" w:hAnsi="Arial" w:cs="Arial"/>
                <w:sz w:val="18"/>
                <w:szCs w:val="18"/>
              </w:rPr>
              <w:t>0.23</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(2.38)</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(35.14)</w:t>
            </w:r>
          </w:p>
        </w:tc>
      </w:tr>
      <w:tr w:rsidR="00000000">
        <w:tblPrEx>
          <w:tblCellMar>
            <w:top w:w="0" w:type="dxa"/>
            <w:left w:w="0" w:type="dxa"/>
            <w:bottom w:w="0" w:type="dxa"/>
            <w:right w:w="0" w:type="dxa"/>
          </w:tblCellMar>
        </w:tblPrEx>
        <w:trPr>
          <w:trHeight w:val="208"/>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Common dividend per</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Arial" w:hAnsi="Arial" w:cs="Arial"/>
                <w:sz w:val="18"/>
                <w:szCs w:val="18"/>
              </w:rPr>
              <w:t>0.25</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70"/>
              <w:jc w:val="right"/>
              <w:rPr>
                <w:rFonts w:ascii="Times New Roman" w:hAnsi="Times New Roman" w:cs="Times New Roman"/>
                <w:sz w:val="24"/>
                <w:szCs w:val="24"/>
              </w:rPr>
            </w:pPr>
            <w:r>
              <w:rPr>
                <w:rFonts w:ascii="Arial" w:hAnsi="Arial" w:cs="Arial"/>
                <w:sz w:val="18"/>
                <w:szCs w:val="18"/>
              </w:rPr>
              <w:t>0.25</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50"/>
              <w:jc w:val="right"/>
              <w:rPr>
                <w:rFonts w:ascii="Times New Roman" w:hAnsi="Times New Roman" w:cs="Times New Roman"/>
                <w:sz w:val="24"/>
                <w:szCs w:val="24"/>
              </w:rPr>
            </w:pPr>
            <w:r>
              <w:rPr>
                <w:rFonts w:ascii="Arial" w:hAnsi="Arial" w:cs="Arial"/>
                <w:sz w:val="18"/>
                <w:szCs w:val="18"/>
              </w:rPr>
              <w:t>0.25</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30"/>
              <w:jc w:val="right"/>
              <w:rPr>
                <w:rFonts w:ascii="Times New Roman" w:hAnsi="Times New Roman" w:cs="Times New Roman"/>
                <w:sz w:val="24"/>
                <w:szCs w:val="24"/>
              </w:rPr>
            </w:pPr>
            <w:r>
              <w:rPr>
                <w:rFonts w:ascii="Arial" w:hAnsi="Arial" w:cs="Arial"/>
                <w:sz w:val="18"/>
                <w:szCs w:val="18"/>
              </w:rPr>
              <w:t>0.25</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0.25</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w:t>
            </w:r>
          </w:p>
        </w:tc>
      </w:tr>
      <w:tr w:rsidR="00000000">
        <w:tblPrEx>
          <w:tblCellMar>
            <w:top w:w="0" w:type="dxa"/>
            <w:left w:w="0" w:type="dxa"/>
            <w:bottom w:w="0" w:type="dxa"/>
            <w:right w:w="0" w:type="dxa"/>
          </w:tblCellMar>
        </w:tblPrEx>
        <w:trPr>
          <w:trHeight w:val="208"/>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18"/>
                <w:szCs w:val="18"/>
              </w:rPr>
              <w:t>share</w:t>
            </w:r>
            <w:r>
              <w:rPr>
                <w:rFonts w:ascii="Arial" w:hAnsi="Arial" w:cs="Arial"/>
                <w:sz w:val="18"/>
                <w:szCs w:val="18"/>
              </w:rPr>
              <w:t>....................</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8"/>
                <w:szCs w:val="18"/>
              </w:rPr>
            </w:pPr>
          </w:p>
        </w:tc>
      </w:tr>
      <w:tr w:rsidR="00000000">
        <w:tblPrEx>
          <w:tblCellMar>
            <w:top w:w="0" w:type="dxa"/>
            <w:left w:w="0" w:type="dxa"/>
            <w:bottom w:w="0" w:type="dxa"/>
            <w:right w:w="0" w:type="dxa"/>
          </w:tblCellMar>
        </w:tblPrEx>
        <w:trPr>
          <w:trHeight w:val="206"/>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rPr>
                <w:rFonts w:ascii="Times New Roman" w:hAnsi="Times New Roman" w:cs="Times New Roman"/>
                <w:sz w:val="24"/>
                <w:szCs w:val="24"/>
              </w:rPr>
            </w:pPr>
            <w:r>
              <w:rPr>
                <w:rFonts w:ascii="Arial" w:hAnsi="Arial" w:cs="Arial"/>
                <w:sz w:val="18"/>
                <w:szCs w:val="18"/>
              </w:rPr>
              <w:t>Market price:</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rPr>
                <w:rFonts w:ascii="Times New Roman" w:hAnsi="Times New Roman" w:cs="Times New Roman"/>
                <w:sz w:val="17"/>
                <w:szCs w:val="17"/>
              </w:rPr>
            </w:pPr>
          </w:p>
        </w:tc>
      </w:tr>
      <w:tr w:rsidR="00000000">
        <w:tblPrEx>
          <w:tblCellMar>
            <w:top w:w="0" w:type="dxa"/>
            <w:left w:w="0" w:type="dxa"/>
            <w:bottom w:w="0" w:type="dxa"/>
            <w:right w:w="0" w:type="dxa"/>
          </w:tblCellMar>
        </w:tblPrEx>
        <w:trPr>
          <w:trHeight w:val="206"/>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left="100"/>
              <w:rPr>
                <w:rFonts w:ascii="Times New Roman" w:hAnsi="Times New Roman" w:cs="Times New Roman"/>
                <w:sz w:val="24"/>
                <w:szCs w:val="24"/>
              </w:rPr>
            </w:pPr>
            <w:r>
              <w:rPr>
                <w:rFonts w:ascii="Arial" w:hAnsi="Arial" w:cs="Arial"/>
                <w:sz w:val="18"/>
                <w:szCs w:val="18"/>
              </w:rPr>
              <w:t>High</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0"/>
              <w:jc w:val="right"/>
              <w:rPr>
                <w:rFonts w:ascii="Times New Roman" w:hAnsi="Times New Roman" w:cs="Times New Roman"/>
                <w:sz w:val="24"/>
                <w:szCs w:val="24"/>
              </w:rPr>
            </w:pPr>
            <w:r>
              <w:rPr>
                <w:rFonts w:ascii="Arial" w:hAnsi="Arial" w:cs="Arial"/>
                <w:sz w:val="18"/>
                <w:szCs w:val="18"/>
              </w:rPr>
              <w:t>13.375</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70"/>
              <w:jc w:val="right"/>
              <w:rPr>
                <w:rFonts w:ascii="Times New Roman" w:hAnsi="Times New Roman" w:cs="Times New Roman"/>
                <w:sz w:val="24"/>
                <w:szCs w:val="24"/>
              </w:rPr>
            </w:pPr>
            <w:r>
              <w:rPr>
                <w:rFonts w:ascii="Arial" w:hAnsi="Arial" w:cs="Arial"/>
                <w:sz w:val="18"/>
                <w:szCs w:val="18"/>
              </w:rPr>
              <w:t>13.750</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30"/>
              <w:jc w:val="right"/>
              <w:rPr>
                <w:rFonts w:ascii="Times New Roman" w:hAnsi="Times New Roman" w:cs="Times New Roman"/>
                <w:sz w:val="24"/>
                <w:szCs w:val="24"/>
              </w:rPr>
            </w:pPr>
            <w:r>
              <w:rPr>
                <w:rFonts w:ascii="Arial" w:hAnsi="Arial" w:cs="Arial"/>
                <w:sz w:val="18"/>
                <w:szCs w:val="18"/>
              </w:rPr>
              <w:t>12.500</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0"/>
              <w:jc w:val="right"/>
              <w:rPr>
                <w:rFonts w:ascii="Times New Roman" w:hAnsi="Times New Roman" w:cs="Times New Roman"/>
                <w:sz w:val="24"/>
                <w:szCs w:val="24"/>
              </w:rPr>
            </w:pPr>
            <w:r>
              <w:rPr>
                <w:rFonts w:ascii="Arial" w:hAnsi="Arial" w:cs="Arial"/>
                <w:sz w:val="18"/>
                <w:szCs w:val="18"/>
              </w:rPr>
              <w:t>12.250</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ind w:right="110"/>
              <w:jc w:val="right"/>
              <w:rPr>
                <w:rFonts w:ascii="Times New Roman" w:hAnsi="Times New Roman" w:cs="Times New Roman"/>
                <w:sz w:val="24"/>
                <w:szCs w:val="24"/>
              </w:rPr>
            </w:pPr>
            <w:r>
              <w:rPr>
                <w:rFonts w:ascii="Arial" w:hAnsi="Arial" w:cs="Arial"/>
                <w:sz w:val="18"/>
                <w:szCs w:val="18"/>
              </w:rPr>
              <w:t>12.875</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06" w:lineRule="exact"/>
              <w:jc w:val="right"/>
              <w:rPr>
                <w:rFonts w:ascii="Times New Roman" w:hAnsi="Times New Roman" w:cs="Times New Roman"/>
                <w:sz w:val="24"/>
                <w:szCs w:val="24"/>
              </w:rPr>
            </w:pPr>
            <w:r>
              <w:rPr>
                <w:rFonts w:ascii="Arial" w:hAnsi="Arial" w:cs="Arial"/>
                <w:sz w:val="18"/>
                <w:szCs w:val="18"/>
              </w:rPr>
              <w:t>9.750</w:t>
            </w:r>
          </w:p>
        </w:tc>
      </w:tr>
      <w:tr w:rsidR="00000000">
        <w:tblPrEx>
          <w:tblCellMar>
            <w:top w:w="0" w:type="dxa"/>
            <w:left w:w="0" w:type="dxa"/>
            <w:bottom w:w="0" w:type="dxa"/>
            <w:right w:w="0" w:type="dxa"/>
          </w:tblCellMar>
        </w:tblPrEx>
        <w:trPr>
          <w:trHeight w:val="238"/>
        </w:trPr>
        <w:tc>
          <w:tcPr>
            <w:tcW w:w="33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left="100"/>
              <w:rPr>
                <w:rFonts w:ascii="Times New Roman" w:hAnsi="Times New Roman" w:cs="Times New Roman"/>
                <w:sz w:val="24"/>
                <w:szCs w:val="24"/>
              </w:rPr>
            </w:pPr>
            <w:r>
              <w:rPr>
                <w:rFonts w:ascii="Arial" w:hAnsi="Arial" w:cs="Arial"/>
                <w:sz w:val="18"/>
                <w:szCs w:val="18"/>
              </w:rPr>
              <w:t>Low</w:t>
            </w:r>
          </w:p>
        </w:tc>
        <w:tc>
          <w:tcPr>
            <w:tcW w:w="9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Arial" w:hAnsi="Arial" w:cs="Arial"/>
                <w:sz w:val="18"/>
                <w:szCs w:val="18"/>
              </w:rPr>
              <w:t>11.125</w:t>
            </w:r>
          </w:p>
        </w:tc>
        <w:tc>
          <w:tcPr>
            <w:tcW w:w="106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70"/>
              <w:jc w:val="right"/>
              <w:rPr>
                <w:rFonts w:ascii="Times New Roman" w:hAnsi="Times New Roman" w:cs="Times New Roman"/>
                <w:sz w:val="24"/>
                <w:szCs w:val="24"/>
              </w:rPr>
            </w:pPr>
            <w:r>
              <w:rPr>
                <w:rFonts w:ascii="Arial" w:hAnsi="Arial" w:cs="Arial"/>
                <w:sz w:val="18"/>
                <w:szCs w:val="18"/>
              </w:rPr>
              <w:t>10.750</w:t>
            </w:r>
          </w:p>
        </w:tc>
        <w:tc>
          <w:tcPr>
            <w:tcW w:w="8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30"/>
              <w:jc w:val="right"/>
              <w:rPr>
                <w:rFonts w:ascii="Times New Roman" w:hAnsi="Times New Roman" w:cs="Times New Roman"/>
                <w:sz w:val="24"/>
                <w:szCs w:val="24"/>
              </w:rPr>
            </w:pPr>
            <w:r>
              <w:rPr>
                <w:rFonts w:ascii="Arial" w:hAnsi="Arial" w:cs="Arial"/>
                <w:sz w:val="18"/>
                <w:szCs w:val="18"/>
              </w:rPr>
              <w:t>10.250</w:t>
            </w:r>
          </w:p>
        </w:tc>
        <w:tc>
          <w:tcPr>
            <w:tcW w:w="98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0"/>
              <w:jc w:val="right"/>
              <w:rPr>
                <w:rFonts w:ascii="Times New Roman" w:hAnsi="Times New Roman" w:cs="Times New Roman"/>
                <w:sz w:val="24"/>
                <w:szCs w:val="24"/>
              </w:rPr>
            </w:pPr>
            <w:r>
              <w:rPr>
                <w:rFonts w:ascii="Arial" w:hAnsi="Arial" w:cs="Arial"/>
                <w:sz w:val="18"/>
                <w:szCs w:val="18"/>
              </w:rPr>
              <w:t>8.000</w:t>
            </w:r>
          </w:p>
        </w:tc>
        <w:tc>
          <w:tcPr>
            <w:tcW w:w="102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ind w:right="110"/>
              <w:jc w:val="right"/>
              <w:rPr>
                <w:rFonts w:ascii="Times New Roman" w:hAnsi="Times New Roman" w:cs="Times New Roman"/>
                <w:sz w:val="24"/>
                <w:szCs w:val="24"/>
              </w:rPr>
            </w:pPr>
            <w:r>
              <w:rPr>
                <w:rFonts w:ascii="Arial" w:hAnsi="Arial" w:cs="Arial"/>
                <w:sz w:val="18"/>
                <w:szCs w:val="18"/>
              </w:rPr>
              <w:t>8.500</w:t>
            </w:r>
          </w:p>
        </w:tc>
        <w:tc>
          <w:tcPr>
            <w:tcW w:w="800" w:type="dxa"/>
            <w:tcBorders>
              <w:top w:val="nil"/>
              <w:left w:val="nil"/>
              <w:bottom w:val="nil"/>
              <w:right w:val="nil"/>
            </w:tcBorders>
            <w:vAlign w:val="bottom"/>
          </w:tcPr>
          <w:p w:rsidR="00000000" w:rsidRDefault="0060774B">
            <w:pPr>
              <w:pStyle w:val="a0"/>
              <w:widowControl w:val="0"/>
              <w:autoSpaceDE w:val="0"/>
              <w:autoSpaceDN w:val="0"/>
              <w:adjustRightInd w:val="0"/>
              <w:spacing w:after="0" w:line="240" w:lineRule="auto"/>
              <w:jc w:val="right"/>
              <w:rPr>
                <w:rFonts w:ascii="Times New Roman" w:hAnsi="Times New Roman" w:cs="Times New Roman"/>
                <w:sz w:val="24"/>
                <w:szCs w:val="24"/>
              </w:rPr>
            </w:pPr>
            <w:r>
              <w:rPr>
                <w:rFonts w:ascii="Arial" w:hAnsi="Arial" w:cs="Arial"/>
                <w:sz w:val="18"/>
                <w:szCs w:val="18"/>
              </w:rPr>
              <w:t>2.000</w:t>
            </w:r>
          </w:p>
        </w:tc>
      </w:tr>
    </w:tbl>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sectPr w:rsidR="00000000">
          <w:type w:val="continuous"/>
          <w:pgSz w:w="12240" w:h="15840"/>
          <w:pgMar w:top="698" w:right="1500" w:bottom="281" w:left="1720" w:header="720" w:footer="720" w:gutter="0"/>
          <w:cols w:space="1280" w:equalWidth="0">
            <w:col w:w="9020" w:space="1280"/>
          </w:cols>
          <w:noEndnote/>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pt;margin-top:13.05pt;width:292.45pt;height:283.55pt;z-index:-251658240;mso-position-horizontal-relative:text;mso-position-vertical-relative:text" o:allowincell="f">
            <v:imagedata r:id="rId5" o:title=""/>
          </v:shape>
        </w:pict>
      </w: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58" w:lineRule="exact"/>
        <w:rPr>
          <w:rFonts w:ascii="Times New Roman" w:hAnsi="Times New Roman" w:cs="Times New Roman"/>
          <w:sz w:val="24"/>
          <w:szCs w:val="24"/>
        </w:rPr>
      </w:pP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1"/>
          <w:szCs w:val="21"/>
        </w:rPr>
        <w:t xml:space="preserve">Page </w:t>
      </w:r>
      <w:r>
        <w:rPr>
          <w:rFonts w:ascii="Arial" w:hAnsi="Arial" w:cs="Arial"/>
          <w:b/>
          <w:bCs/>
          <w:sz w:val="21"/>
          <w:szCs w:val="21"/>
        </w:rPr>
        <w:t>9</w:t>
      </w:r>
      <w:r>
        <w:rPr>
          <w:rFonts w:ascii="Arial" w:hAnsi="Arial" w:cs="Arial"/>
          <w:sz w:val="21"/>
          <w:szCs w:val="21"/>
        </w:rPr>
        <w:t xml:space="preserve"> of </w:t>
      </w:r>
      <w:r>
        <w:rPr>
          <w:rFonts w:ascii="Arial" w:hAnsi="Arial" w:cs="Arial"/>
          <w:b/>
          <w:bCs/>
          <w:sz w:val="21"/>
          <w:szCs w:val="21"/>
        </w:rPr>
        <w:t>9</w:t>
      </w:r>
    </w:p>
    <w:p w:rsidR="00000000" w:rsidRDefault="0060774B">
      <w:pPr>
        <w:pStyle w:val="a0"/>
        <w:widowControl w:val="0"/>
        <w:autoSpaceDE w:val="0"/>
        <w:autoSpaceDN w:val="0"/>
        <w:adjustRightInd w:val="0"/>
        <w:spacing w:after="0" w:line="240" w:lineRule="auto"/>
        <w:rPr>
          <w:rFonts w:ascii="Times New Roman" w:hAnsi="Times New Roman" w:cs="Times New Roman"/>
          <w:sz w:val="24"/>
          <w:szCs w:val="24"/>
        </w:rPr>
      </w:pPr>
    </w:p>
    <w:sectPr w:rsidR="00000000">
      <w:type w:val="continuous"/>
      <w:pgSz w:w="12240" w:h="15840"/>
      <w:pgMar w:top="698" w:right="860" w:bottom="281" w:left="10260" w:header="720" w:footer="720" w:gutter="0"/>
      <w:cols w:space="1280" w:equalWidth="0">
        <w:col w:w="1120" w:space="128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00006784">
      <w:start w:val="1"/>
      <w:numFmt w:val="lowerLetter"/>
      <w:lvlText w:val="%2."/>
      <w:lvlJc w:val="left"/>
      <w:pPr>
        <w:tabs>
          <w:tab w:val="num" w:pos="1440"/>
        </w:tabs>
        <w:ind w:left="1440" w:hanging="360"/>
      </w:pPr>
    </w:lvl>
    <w:lvl w:ilvl="2" w:tplc="00004AE1">
      <w:start w:val="1"/>
      <w:numFmt w:val="lowerRoman"/>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BB3"/>
    <w:multiLevelType w:val="hybridMultilevel"/>
    <w:tmpl w:val="00002EA6"/>
    <w:lvl w:ilvl="0" w:tplc="000012DB">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3D6C"/>
    <w:multiLevelType w:val="hybridMultilevel"/>
    <w:tmpl w:val="00002CD6"/>
    <w:lvl w:ilvl="0" w:tplc="000072A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AF1"/>
    <w:multiLevelType w:val="hybridMultilevel"/>
    <w:tmpl w:val="000041BB"/>
    <w:lvl w:ilvl="0" w:tplc="000026E9">
      <w:start w:val="6"/>
      <w:numFmt w:val="upperLetter"/>
      <w:lvlText w:val="%1."/>
      <w:lvlJc w:val="left"/>
      <w:pPr>
        <w:tabs>
          <w:tab w:val="num" w:pos="720"/>
        </w:tabs>
        <w:ind w:left="720" w:hanging="360"/>
      </w:pPr>
    </w:lvl>
    <w:lvl w:ilvl="1" w:tplc="000001EB">
      <w:start w:val="1"/>
      <w:numFmt w:val="upp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952"/>
    <w:multiLevelType w:val="hybridMultilevel"/>
    <w:tmpl w:val="00005F90"/>
    <w:lvl w:ilvl="0" w:tplc="00001649">
      <w:start w:val="1"/>
      <w:numFmt w:val="upperLetter"/>
      <w:lvlText w:val="%1."/>
      <w:lvlJc w:val="left"/>
      <w:pPr>
        <w:tabs>
          <w:tab w:val="num" w:pos="720"/>
        </w:tabs>
        <w:ind w:left="720" w:hanging="360"/>
      </w:pPr>
    </w:lvl>
    <w:lvl w:ilvl="1" w:tplc="00006DF1">
      <w:start w:val="1"/>
      <w:numFmt w:val="upp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774B"/>
    <w:rsid w:val="006077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3</ap:Pages>
  <ap:Words>2603</ap:Words>
  <ap:Characters>14842</ap:Characters>
  <ap:Application>convertonlinefree.com</ap:Application>
  <ap:DocSecurity>4</ap:DocSecurity>
  <ap:Lines>123</ap:Lines>
  <ap:Paragraphs>34</ap:Paragraphs>
  <ap:ScaleCrop>false</ap:ScaleCrop>
  <ap:Company/>
  <ap:LinksUpToDate>false</ap:LinksUpToDate>
  <ap:CharactersWithSpaces>17411</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2015-03-26T14:12:00Z</dcterms:created>
  <dcterms:modified xsi:type="dcterms:W3CDTF">2015-03-26T14:12:00Z</dcterms:modified>
</cp:coreProperties>
</file>