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EB5874" w:rsidRPr="00EB5874" w:rsidTr="00EB5874">
        <w:trPr>
          <w:tblCellSpacing w:w="0" w:type="dxa"/>
        </w:trPr>
        <w:tc>
          <w:tcPr>
            <w:tcW w:w="5000" w:type="pct"/>
            <w:vAlign w:val="center"/>
            <w:hideMark/>
          </w:tcPr>
          <w:p w:rsidR="00EB5874" w:rsidRPr="00EB5874" w:rsidRDefault="00EB5874" w:rsidP="00EB587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Sprint Nextel Corp stock ended the previous year at $43.76 per share. It paid a $3.22 per share dividend last year. It ended last year at $39.29.</w:t>
            </w:r>
          </w:p>
        </w:tc>
      </w:tr>
    </w:tbl>
    <w:p w:rsidR="00EB5874" w:rsidRPr="00EB5874" w:rsidRDefault="00EB5874" w:rsidP="00EB5874">
      <w:pPr>
        <w:spacing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EB5874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   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EB5874" w:rsidRPr="00EB5874" w:rsidTr="00EB5874">
        <w:trPr>
          <w:tblCellSpacing w:w="0" w:type="dxa"/>
        </w:trPr>
        <w:tc>
          <w:tcPr>
            <w:tcW w:w="5000" w:type="pct"/>
            <w:vAlign w:val="center"/>
            <w:hideMark/>
          </w:tcPr>
          <w:p w:rsidR="00EB5874" w:rsidRPr="00EB5874" w:rsidRDefault="00EB5874" w:rsidP="00EB587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If you owned 800 shares of Sprint, what was your dollar return and percent return? </w:t>
            </w:r>
            <w:r w:rsidRPr="00EB5874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>(Negative answers should be indicated with a minus sign. Round your percent return answer to 2 decimal places.)</w:t>
            </w:r>
          </w:p>
        </w:tc>
      </w:tr>
    </w:tbl>
    <w:p w:rsidR="00EB5874" w:rsidRPr="00EB5874" w:rsidRDefault="00EB5874" w:rsidP="00EB5874">
      <w:pPr>
        <w:spacing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EB5874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   </w:t>
      </w:r>
    </w:p>
    <w:tbl>
      <w:tblPr>
        <w:tblW w:w="405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9"/>
        <w:gridCol w:w="1823"/>
        <w:gridCol w:w="608"/>
      </w:tblGrid>
      <w:tr w:rsidR="00EB5874" w:rsidRPr="00EB5874" w:rsidTr="00EB5874">
        <w:trPr>
          <w:tblCellSpacing w:w="0" w:type="dxa"/>
        </w:trPr>
        <w:tc>
          <w:tcPr>
            <w:tcW w:w="0" w:type="auto"/>
            <w:gridSpan w:val="3"/>
            <w:shd w:val="clear" w:color="auto" w:fill="D7DCE6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5874" w:rsidRPr="00EB5874" w:rsidTr="00EB5874">
        <w:trPr>
          <w:tblCellSpacing w:w="0" w:type="dxa"/>
        </w:trPr>
        <w:tc>
          <w:tcPr>
            <w:tcW w:w="2000" w:type="pct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 Dollar return</w:t>
            </w:r>
          </w:p>
        </w:tc>
        <w:tc>
          <w:tcPr>
            <w:tcW w:w="2250" w:type="pct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$ </w:t>
            </w: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38.25pt;height:18pt" o:ole="">
                  <v:imagedata r:id="rId4" o:title=""/>
                </v:shape>
                <w:control r:id="rId5" w:name="DefaultOcxName" w:shapeid="_x0000_i1030"/>
              </w:object>
            </w:r>
          </w:p>
        </w:tc>
        <w:tc>
          <w:tcPr>
            <w:tcW w:w="750" w:type="pct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5874" w:rsidRPr="00EB5874" w:rsidTr="00EB5874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 Percent return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1440" w:dyaOrig="1440">
                <v:shape id="_x0000_i1029" type="#_x0000_t75" style="width:38.25pt;height:18pt" o:ole="">
                  <v:imagedata r:id="rId4" o:title=""/>
                </v:shape>
                <w:control r:id="rId6" w:name="DefaultOcxName1" w:shapeid="_x0000_i1029"/>
              </w:objec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%</w:t>
            </w:r>
          </w:p>
        </w:tc>
      </w:tr>
    </w:tbl>
    <w:p w:rsidR="003C3B56" w:rsidRDefault="003C3B56"/>
    <w:p w:rsidR="00EB5874" w:rsidRDefault="00EB5874"/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EB5874" w:rsidRPr="00EB5874" w:rsidTr="00EB5874">
        <w:trPr>
          <w:tblCellSpacing w:w="0" w:type="dxa"/>
        </w:trPr>
        <w:tc>
          <w:tcPr>
            <w:tcW w:w="5000" w:type="pct"/>
            <w:vAlign w:val="center"/>
            <w:hideMark/>
          </w:tcPr>
          <w:p w:rsidR="00EB5874" w:rsidRPr="00EB5874" w:rsidRDefault="00EB5874" w:rsidP="00EB587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Compute the expected return given these three economic states, their likelihoods, and the potential returns: </w:t>
            </w:r>
            <w:r w:rsidRPr="00EB5874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>(Round your answer to 2 decimal places.)</w:t>
            </w:r>
          </w:p>
        </w:tc>
      </w:tr>
    </w:tbl>
    <w:p w:rsidR="00EB5874" w:rsidRPr="00EB5874" w:rsidRDefault="00EB5874" w:rsidP="00EB5874">
      <w:pPr>
        <w:spacing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EB5874">
        <w:rPr>
          <w:rFonts w:ascii="Times New Roman" w:eastAsia="Times New Roman" w:hAnsi="Times New Roman" w:cs="Times New Roman"/>
          <w:color w:val="000000"/>
          <w:sz w:val="18"/>
          <w:szCs w:val="18"/>
        </w:rPr>
        <w:t>  </w:t>
      </w:r>
    </w:p>
    <w:tbl>
      <w:tblPr>
        <w:tblW w:w="375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9"/>
        <w:gridCol w:w="50"/>
        <w:gridCol w:w="889"/>
        <w:gridCol w:w="50"/>
        <w:gridCol w:w="417"/>
        <w:gridCol w:w="385"/>
      </w:tblGrid>
      <w:tr w:rsidR="00EB5874" w:rsidRPr="00EB5874" w:rsidTr="00EB5874">
        <w:trPr>
          <w:tblCellSpacing w:w="0" w:type="dxa"/>
        </w:trPr>
        <w:tc>
          <w:tcPr>
            <w:tcW w:w="2700" w:type="pct"/>
            <w:shd w:val="clear" w:color="auto" w:fill="D7DCE6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 Economic State</w:t>
            </w:r>
          </w:p>
        </w:tc>
        <w:tc>
          <w:tcPr>
            <w:tcW w:w="150" w:type="pct"/>
            <w:shd w:val="clear" w:color="auto" w:fill="D7DCE6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pct"/>
            <w:shd w:val="clear" w:color="auto" w:fill="D7DCE6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Probability</w:t>
            </w:r>
          </w:p>
        </w:tc>
        <w:tc>
          <w:tcPr>
            <w:tcW w:w="150" w:type="pct"/>
            <w:shd w:val="clear" w:color="auto" w:fill="D7DCE6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0" w:type="pct"/>
            <w:gridSpan w:val="2"/>
            <w:shd w:val="clear" w:color="auto" w:fill="D7DCE6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Return</w:t>
            </w:r>
          </w:p>
        </w:tc>
      </w:tr>
      <w:tr w:rsidR="00EB5874" w:rsidRPr="00EB5874" w:rsidTr="00EB5874">
        <w:trPr>
          <w:tblCellSpacing w:w="0" w:type="dxa"/>
        </w:trPr>
        <w:tc>
          <w:tcPr>
            <w:tcW w:w="2700" w:type="pct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 Fast growth</w:t>
            </w:r>
          </w:p>
        </w:tc>
        <w:tc>
          <w:tcPr>
            <w:tcW w:w="150" w:type="pct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pct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0.17</w:t>
            </w:r>
          </w:p>
        </w:tc>
        <w:tc>
          <w:tcPr>
            <w:tcW w:w="150" w:type="pct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0" w:type="pct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600" w:type="pct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%</w:t>
            </w:r>
          </w:p>
        </w:tc>
      </w:tr>
      <w:tr w:rsidR="00EB5874" w:rsidRPr="00EB5874" w:rsidTr="00EB5874">
        <w:trPr>
          <w:tblCellSpacing w:w="0" w:type="dxa"/>
        </w:trPr>
        <w:tc>
          <w:tcPr>
            <w:tcW w:w="2700" w:type="pct"/>
            <w:shd w:val="clear" w:color="auto" w:fill="F7F7F7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 Slow growth</w:t>
            </w:r>
          </w:p>
        </w:tc>
        <w:tc>
          <w:tcPr>
            <w:tcW w:w="150" w:type="pct"/>
            <w:shd w:val="clear" w:color="auto" w:fill="F7F7F7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pct"/>
            <w:shd w:val="clear" w:color="auto" w:fill="F7F7F7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0.50</w:t>
            </w:r>
          </w:p>
        </w:tc>
        <w:tc>
          <w:tcPr>
            <w:tcW w:w="150" w:type="pct"/>
            <w:shd w:val="clear" w:color="auto" w:fill="F7F7F7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0" w:type="pct"/>
            <w:shd w:val="clear" w:color="auto" w:fill="F7F7F7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00" w:type="pct"/>
            <w:shd w:val="clear" w:color="auto" w:fill="F7F7F7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5874" w:rsidRPr="00EB5874" w:rsidTr="00EB5874">
        <w:trPr>
          <w:tblCellSpacing w:w="0" w:type="dxa"/>
        </w:trPr>
        <w:tc>
          <w:tcPr>
            <w:tcW w:w="2700" w:type="pct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 Recession</w:t>
            </w:r>
          </w:p>
        </w:tc>
        <w:tc>
          <w:tcPr>
            <w:tcW w:w="150" w:type="pct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pct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0.33</w:t>
            </w:r>
          </w:p>
        </w:tc>
        <w:tc>
          <w:tcPr>
            <w:tcW w:w="150" w:type="pct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0" w:type="pct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–21</w:t>
            </w:r>
          </w:p>
        </w:tc>
        <w:tc>
          <w:tcPr>
            <w:tcW w:w="600" w:type="pct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5874" w:rsidRPr="00EB5874" w:rsidTr="00EB5874">
        <w:trPr>
          <w:tblCellSpacing w:w="0" w:type="dxa"/>
        </w:trPr>
        <w:tc>
          <w:tcPr>
            <w:tcW w:w="0" w:type="auto"/>
            <w:gridSpan w:val="6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pict>
                <v:rect id="_x0000_i1031" style="width:91.15pt;height:3.75pt" o:hrstd="t" o:hrnoshade="t" o:hr="t" fillcolor="#cdd4e0" stroked="f"/>
              </w:pict>
            </w:r>
          </w:p>
        </w:tc>
      </w:tr>
    </w:tbl>
    <w:p w:rsidR="00EB5874" w:rsidRPr="00EB5874" w:rsidRDefault="00EB5874" w:rsidP="00EB5874">
      <w:pPr>
        <w:spacing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tbl>
      <w:tblPr>
        <w:tblW w:w="405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2"/>
        <w:gridCol w:w="2228"/>
      </w:tblGrid>
      <w:tr w:rsidR="00EB5874" w:rsidRPr="00EB5874" w:rsidTr="00EB5874">
        <w:trPr>
          <w:tblCellSpacing w:w="0" w:type="dxa"/>
        </w:trPr>
        <w:tc>
          <w:tcPr>
            <w:tcW w:w="2250" w:type="pct"/>
            <w:shd w:val="clear" w:color="auto" w:fill="D7DCE6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 Expected return</w:t>
            </w:r>
          </w:p>
        </w:tc>
        <w:tc>
          <w:tcPr>
            <w:tcW w:w="2750" w:type="pct"/>
            <w:shd w:val="clear" w:color="auto" w:fill="D7DCE6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1440" w:dyaOrig="1440">
                <v:shape id="_x0000_i1035" type="#_x0000_t75" style="width:38.25pt;height:18pt" o:ole="">
                  <v:imagedata r:id="rId4" o:title=""/>
                </v:shape>
                <w:control r:id="rId7" w:name="DefaultOcxName2" w:shapeid="_x0000_i1035"/>
              </w:object>
            </w: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  </w:t>
            </w:r>
          </w:p>
        </w:tc>
      </w:tr>
      <w:tr w:rsidR="00EB5874" w:rsidRPr="00EB5874" w:rsidTr="00EB5874">
        <w:trPr>
          <w:tblCellSpacing w:w="0" w:type="dxa"/>
        </w:trPr>
        <w:tc>
          <w:tcPr>
            <w:tcW w:w="2250" w:type="pct"/>
            <w:shd w:val="clear" w:color="auto" w:fill="D7DCE6"/>
            <w:vAlign w:val="center"/>
          </w:tcPr>
          <w:p w:rsidR="00EB5874" w:rsidRPr="00EB5874" w:rsidRDefault="00EB5874" w:rsidP="00EB5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50" w:type="pct"/>
            <w:shd w:val="clear" w:color="auto" w:fill="D7DCE6"/>
            <w:vAlign w:val="center"/>
          </w:tcPr>
          <w:p w:rsidR="00EB5874" w:rsidRPr="00EB5874" w:rsidRDefault="00EB5874" w:rsidP="00EB58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EB5874" w:rsidRPr="00EB5874" w:rsidRDefault="00EB5874" w:rsidP="00EB5874">
      <w:pPr>
        <w:spacing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</w:rPr>
      </w:pPr>
      <w:hyperlink r:id="rId8" w:tooltip="Check My Work" w:history="1">
        <w:r w:rsidRPr="00EB5874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 xml:space="preserve">check my </w:t>
        </w:r>
        <w:proofErr w:type="spellStart"/>
        <w:r w:rsidRPr="00EB5874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work</w:t>
        </w:r>
      </w:hyperlink>
      <w:hyperlink r:id="rId9" w:history="1">
        <w:r w:rsidRPr="00EB5874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View</w:t>
        </w:r>
        <w:proofErr w:type="spellEnd"/>
        <w:r w:rsidRPr="00EB5874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 xml:space="preserve"> Hint #1</w:t>
        </w:r>
      </w:hyperlink>
      <w:hyperlink r:id="rId10" w:history="1">
        <w:r w:rsidRPr="00EB5874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View Hint #2</w:t>
        </w:r>
      </w:hyperlink>
      <w:hyperlink r:id="rId11" w:history="1">
        <w:r w:rsidRPr="00EB5874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 xml:space="preserve">View </w:t>
        </w:r>
      </w:hyperlink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EB5874" w:rsidRPr="00EB5874" w:rsidTr="00EB5874">
        <w:trPr>
          <w:tblCellSpacing w:w="0" w:type="dxa"/>
        </w:trPr>
        <w:tc>
          <w:tcPr>
            <w:tcW w:w="5000" w:type="pct"/>
            <w:vAlign w:val="center"/>
            <w:hideMark/>
          </w:tcPr>
          <w:p w:rsidR="00EB5874" w:rsidRDefault="00EB5874" w:rsidP="00EB587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EB5874" w:rsidRPr="00EB5874" w:rsidRDefault="00EB5874" w:rsidP="00EB587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Suppose the Japanese stock market bubble peaked at 46,200 in 1989. Two and a half years later it had fallen to 24,500.</w:t>
            </w:r>
          </w:p>
        </w:tc>
      </w:tr>
    </w:tbl>
    <w:p w:rsidR="00EB5874" w:rsidRPr="00EB5874" w:rsidRDefault="00EB5874" w:rsidP="00EB5874">
      <w:pPr>
        <w:spacing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EB5874">
        <w:rPr>
          <w:rFonts w:ascii="Times New Roman" w:eastAsia="Times New Roman" w:hAnsi="Times New Roman" w:cs="Times New Roman"/>
          <w:color w:val="000000"/>
          <w:sz w:val="18"/>
          <w:szCs w:val="18"/>
        </w:rPr>
        <w:t>  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EB5874" w:rsidRPr="00EB5874" w:rsidTr="00EB5874">
        <w:trPr>
          <w:tblCellSpacing w:w="0" w:type="dxa"/>
        </w:trPr>
        <w:tc>
          <w:tcPr>
            <w:tcW w:w="5000" w:type="pct"/>
            <w:vAlign w:val="center"/>
            <w:hideMark/>
          </w:tcPr>
          <w:p w:rsidR="00EB5874" w:rsidRPr="00EB5874" w:rsidRDefault="00EB5874" w:rsidP="00EB587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What was the percentage decline? </w:t>
            </w:r>
            <w:r w:rsidRPr="00EB5874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>(Negative answer should be indicated with a minus sign. Round your answer to 2 decimal places.)</w:t>
            </w:r>
          </w:p>
        </w:tc>
      </w:tr>
    </w:tbl>
    <w:p w:rsidR="00EB5874" w:rsidRPr="00EB5874" w:rsidRDefault="00EB5874" w:rsidP="00EB5874">
      <w:pPr>
        <w:spacing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EB5874">
        <w:rPr>
          <w:rFonts w:ascii="Times New Roman" w:eastAsia="Times New Roman" w:hAnsi="Times New Roman" w:cs="Times New Roman"/>
          <w:color w:val="000000"/>
          <w:sz w:val="18"/>
          <w:szCs w:val="18"/>
        </w:rPr>
        <w:t>  </w:t>
      </w:r>
    </w:p>
    <w:tbl>
      <w:tblPr>
        <w:tblW w:w="42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0"/>
        <w:gridCol w:w="2310"/>
      </w:tblGrid>
      <w:tr w:rsidR="00EB5874" w:rsidRPr="00EB5874" w:rsidTr="00EB5874">
        <w:trPr>
          <w:tblCellSpacing w:w="0" w:type="dxa"/>
        </w:trPr>
        <w:tc>
          <w:tcPr>
            <w:tcW w:w="2250" w:type="pct"/>
            <w:shd w:val="clear" w:color="auto" w:fill="D7DCE6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 Market decline</w:t>
            </w:r>
          </w:p>
        </w:tc>
        <w:tc>
          <w:tcPr>
            <w:tcW w:w="2750" w:type="pct"/>
            <w:shd w:val="clear" w:color="auto" w:fill="D7DCE6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1440" w:dyaOrig="1440">
                <v:shape id="_x0000_i1038" type="#_x0000_t75" style="width:38.25pt;height:18pt" o:ole="">
                  <v:imagedata r:id="rId4" o:title=""/>
                </v:shape>
                <w:control r:id="rId12" w:name="DefaultOcxName3" w:shapeid="_x0000_i1038"/>
              </w:object>
            </w: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  </w:t>
            </w:r>
          </w:p>
        </w:tc>
      </w:tr>
    </w:tbl>
    <w:p w:rsidR="00EB5874" w:rsidRDefault="00EB5874"/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EB5874" w:rsidRPr="00EB5874" w:rsidTr="00EB5874">
        <w:trPr>
          <w:tblCellSpacing w:w="0" w:type="dxa"/>
        </w:trPr>
        <w:tc>
          <w:tcPr>
            <w:tcW w:w="5000" w:type="pct"/>
            <w:vAlign w:val="center"/>
            <w:hideMark/>
          </w:tcPr>
          <w:p w:rsidR="00EB5874" w:rsidRPr="00EB5874" w:rsidRDefault="00EB5874" w:rsidP="00EB587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Rank the following three stocks by their total risk level, highest to lowest. Night Ryder has an average return of 8 percent and standard deviation of 39 percent. The average return and standard deviation of </w:t>
            </w:r>
            <w:proofErr w:type="spellStart"/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WholeMart</w:t>
            </w:r>
            <w:proofErr w:type="spellEnd"/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are 9 percent and 21 percent; and of Fruit Fly are 14 percent and 30 percent.</w:t>
            </w:r>
          </w:p>
        </w:tc>
      </w:tr>
    </w:tbl>
    <w:p w:rsidR="00EB5874" w:rsidRPr="00EB5874" w:rsidRDefault="00EB5874" w:rsidP="00EB5874">
      <w:pPr>
        <w:spacing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EB5874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     </w:t>
      </w:r>
    </w:p>
    <w:tbl>
      <w:tblPr>
        <w:tblW w:w="345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5"/>
        <w:gridCol w:w="2415"/>
      </w:tblGrid>
      <w:tr w:rsidR="00EB5874" w:rsidRPr="00EB5874" w:rsidTr="00EB5874">
        <w:trPr>
          <w:tblCellSpacing w:w="0" w:type="dxa"/>
        </w:trPr>
        <w:tc>
          <w:tcPr>
            <w:tcW w:w="1500" w:type="pct"/>
            <w:shd w:val="clear" w:color="auto" w:fill="D7DCE6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Rank</w:t>
            </w:r>
          </w:p>
        </w:tc>
        <w:tc>
          <w:tcPr>
            <w:tcW w:w="3500" w:type="pct"/>
            <w:shd w:val="clear" w:color="auto" w:fill="D7DCE6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Stock</w:t>
            </w:r>
          </w:p>
        </w:tc>
      </w:tr>
      <w:tr w:rsidR="00EB5874" w:rsidRPr="00EB5874" w:rsidTr="00EB5874">
        <w:trPr>
          <w:tblCellSpacing w:w="0" w:type="dxa"/>
        </w:trPr>
        <w:tc>
          <w:tcPr>
            <w:tcW w:w="1500" w:type="pct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00" w:type="pct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1440" w:dyaOrig="1440">
                <v:shape id="_x0000_i1047" type="#_x0000_t75" style="width:111pt;height:18pt" o:ole="">
                  <v:imagedata r:id="rId13" o:title=""/>
                </v:shape>
                <w:control r:id="rId14" w:name="DefaultOcxName4" w:shapeid="_x0000_i1047"/>
              </w:object>
            </w:r>
          </w:p>
        </w:tc>
      </w:tr>
      <w:tr w:rsidR="00EB5874" w:rsidRPr="00EB5874" w:rsidTr="00EB5874">
        <w:trPr>
          <w:tblCellSpacing w:w="0" w:type="dxa"/>
        </w:trPr>
        <w:tc>
          <w:tcPr>
            <w:tcW w:w="1500" w:type="pct"/>
            <w:shd w:val="clear" w:color="auto" w:fill="F7F7F7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00" w:type="pct"/>
            <w:shd w:val="clear" w:color="auto" w:fill="F7F7F7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1440" w:dyaOrig="1440">
                <v:shape id="_x0000_i1046" type="#_x0000_t75" style="width:111pt;height:18pt" o:ole="">
                  <v:imagedata r:id="rId15" o:title=""/>
                </v:shape>
                <w:control r:id="rId16" w:name="DefaultOcxName11" w:shapeid="_x0000_i1046"/>
              </w:object>
            </w:r>
          </w:p>
        </w:tc>
      </w:tr>
      <w:tr w:rsidR="00EB5874" w:rsidRPr="00EB5874" w:rsidTr="00EB5874">
        <w:trPr>
          <w:tblCellSpacing w:w="0" w:type="dxa"/>
        </w:trPr>
        <w:tc>
          <w:tcPr>
            <w:tcW w:w="1500" w:type="pct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500" w:type="pct"/>
            <w:vAlign w:val="center"/>
            <w:hideMark/>
          </w:tcPr>
          <w:p w:rsidR="00EB5874" w:rsidRPr="00EB5874" w:rsidRDefault="00EB5874" w:rsidP="00EB58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5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1440" w:dyaOrig="1440">
                <v:shape id="_x0000_i1045" type="#_x0000_t75" style="width:111pt;height:18pt" o:ole="">
                  <v:imagedata r:id="rId17" o:title=""/>
                </v:shape>
                <w:control r:id="rId18" w:name="DefaultOcxName21" w:shapeid="_x0000_i1045"/>
              </w:object>
            </w:r>
          </w:p>
        </w:tc>
      </w:tr>
    </w:tbl>
    <w:p w:rsidR="00EB5874" w:rsidRDefault="00EB5874">
      <w:bookmarkStart w:id="0" w:name="_GoBack"/>
      <w:bookmarkEnd w:id="0"/>
    </w:p>
    <w:sectPr w:rsidR="00EB58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874"/>
    <w:rsid w:val="003C3B56"/>
    <w:rsid w:val="00EB5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708A5B-35D3-4CC5-B767-4696DA75B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B58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45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9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319122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532119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31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644683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3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1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2898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836240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41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151133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43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444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25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0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80891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77868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378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123462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0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25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77722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543723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95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43692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;" TargetMode="External"/><Relationship Id="rId13" Type="http://schemas.openxmlformats.org/officeDocument/2006/relationships/image" Target="media/image2.wmf"/><Relationship Id="rId18" Type="http://schemas.openxmlformats.org/officeDocument/2006/relationships/control" Target="activeX/activeX7.xml"/><Relationship Id="rId3" Type="http://schemas.openxmlformats.org/officeDocument/2006/relationships/webSettings" Target="webSettings.xml"/><Relationship Id="rId7" Type="http://schemas.openxmlformats.org/officeDocument/2006/relationships/control" Target="activeX/activeX3.xml"/><Relationship Id="rId12" Type="http://schemas.openxmlformats.org/officeDocument/2006/relationships/control" Target="activeX/activeX4.xml"/><Relationship Id="rId17" Type="http://schemas.openxmlformats.org/officeDocument/2006/relationships/image" Target="media/image4.wmf"/><Relationship Id="rId2" Type="http://schemas.openxmlformats.org/officeDocument/2006/relationships/settings" Target="settings.xml"/><Relationship Id="rId16" Type="http://schemas.openxmlformats.org/officeDocument/2006/relationships/control" Target="activeX/activeX6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hyperlink" Target="javascript:doHint('13252700860248279',%20'',%20'%3Cp%3E%3Ca+target%3D%22_blank%22+href%3D%22http%3A%2F%2Fwww.viddler.com%2Fembed%2F1d1b661a%2F%3Ff%3D1%26autoplay%3D0%26player%3Dsimple%26disablebranding%3D0%22%3EGuided+Example+10-1%3A+Using+Excel%3C%2Fa%3E%3C%2Fp%3E');" TargetMode="External"/><Relationship Id="rId5" Type="http://schemas.openxmlformats.org/officeDocument/2006/relationships/control" Target="activeX/activeX1.xml"/><Relationship Id="rId15" Type="http://schemas.openxmlformats.org/officeDocument/2006/relationships/image" Target="media/image3.wmf"/><Relationship Id="rId10" Type="http://schemas.openxmlformats.org/officeDocument/2006/relationships/hyperlink" Target="javascript:doHint('13252700860248279',%20'',%20'%3Cp%3E%3Ca+target%3D%22_blank%22+href%3D%22http%3A%2F%2Fwww.viddler.com%2Fembed%2Fa5274ca%2F%3Ff%3D1%26autoplay%3D0%26player%3Dsimple%26disablebranding%3D0%22%3EGuided+Example+10-1%3A+Decision+Points%3C%2Fa%3E%3C%2Fp%3E');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hyperlink" Target="javascript:doHint('13252700860248279',%20'',%20'%3Cp%3E%3Ca+target%3D%22_blank%22+href%3D%22http%3A%2F%2Fwww.viddler.com%2Fembed%2F20fd6879%2F%3Ff%3D1%26autoplay%3D0%26player%3Dsimple%26disablebranding%3D0%22%3EGuided+Example+10-1%3A+Expected+Return+and+Risk%3C%2Fa%3E%3C%2Fp%3E');" TargetMode="External"/><Relationship Id="rId14" Type="http://schemas.openxmlformats.org/officeDocument/2006/relationships/control" Target="activeX/activeX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378</Words>
  <Characters>2155</Characters>
  <Application>Microsoft Office Word</Application>
  <DocSecurity>0</DocSecurity>
  <Lines>17</Lines>
  <Paragraphs>5</Paragraphs>
  <ScaleCrop>false</ScaleCrop>
  <Company/>
  <LinksUpToDate>false</LinksUpToDate>
  <CharactersWithSpaces>2528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SMALL-JAMES</dc:creator>
  <cp:keywords/>
  <dc:description/>
  <cp:lastModifiedBy>JOANNE SMALL-JAMES</cp:lastModifiedBy>
  <cp:revision>1</cp:revision>
  <dcterms:created xsi:type="dcterms:W3CDTF">2015-02-23T05:19:00Z</dcterms:created>
  <dcterms:modified xsi:type="dcterms:W3CDTF">2015-02-23T05:21:00Z</dcterms:modified>
</cp:coreProperties>
</file>