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CE5" w:rsidRDefault="009D59EA">
      <w:r>
        <w:t>Week 10</w:t>
      </w:r>
    </w:p>
    <w:p w:rsidR="009D59EA" w:rsidRDefault="009D59EA">
      <w:r>
        <w:t xml:space="preserve">Week 10 – </w:t>
      </w:r>
      <w:proofErr w:type="spellStart"/>
      <w:r>
        <w:t>Dq</w:t>
      </w:r>
      <w:proofErr w:type="spellEnd"/>
      <w:r>
        <w:t xml:space="preserve"> 10</w:t>
      </w:r>
    </w:p>
    <w:p w:rsidR="009D59EA" w:rsidRDefault="009D59EA" w:rsidP="009D59EA">
      <w:r>
        <w:t xml:space="preserve">"Nike’s Sustainable Strategy"  </w:t>
      </w:r>
      <w:bookmarkStart w:id="0" w:name="_GoBack"/>
      <w:bookmarkEnd w:id="0"/>
    </w:p>
    <w:p w:rsidR="009D59EA" w:rsidRDefault="009D59EA" w:rsidP="009D59EA">
      <w:r>
        <w:t>•From the e-Activity, evaluate the success of Nike’s global network structure in terms of centralization of authority and horizontal differentiation. Next, analyze the fundamental manner in which the company’s outsourcing strategy facilitates both resource sharing and the leveraging of its competencies around the world. Provide a rationale to support your response.</w:t>
      </w:r>
    </w:p>
    <w:p w:rsidR="009D59EA" w:rsidRDefault="009D59EA" w:rsidP="009D59EA">
      <w:r>
        <w:t>•From the e-Activity, evaluate the appropriateness of the type or types of basic strategies that Nike implements in order to expand globally. Next, analyze the most important manner in which Nike’s organizational structure, control systems, and culture influence its international strategy. Provide a rationale to support your response.</w:t>
      </w:r>
    </w:p>
    <w:sectPr w:rsidR="009D59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9EA"/>
    <w:rsid w:val="000A2CE5"/>
    <w:rsid w:val="009D59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113</Words>
  <Characters>648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2014-11-30T14:18:00Z</dcterms:created>
  <dcterms:modified xsi:type="dcterms:W3CDTF">2014-11-30T14:19:00Z</dcterms:modified>
</cp:coreProperties>
</file>