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36" w:rsidRDefault="00F56436" w:rsidP="00F56436">
      <w:r>
        <w:t>Q-200 word</w:t>
      </w:r>
    </w:p>
    <w:p w:rsidR="00F56436" w:rsidRPr="00E606F9" w:rsidRDefault="00F56436" w:rsidP="00F56436">
      <w:pPr>
        <w:numPr>
          <w:ilvl w:val="0"/>
          <w:numId w:val="1"/>
        </w:numPr>
        <w:spacing w:after="240" w:line="240" w:lineRule="auto"/>
        <w:ind w:left="-465" w:right="-465"/>
        <w:rPr>
          <w:rFonts w:ascii="inherit" w:eastAsia="Times New Roman" w:hAnsi="inherit" w:cs="Lucida Grande"/>
          <w:color w:val="000000"/>
          <w:sz w:val="20"/>
          <w:szCs w:val="20"/>
          <w:lang w:eastAsia="en-IN"/>
        </w:rPr>
      </w:pPr>
      <w:r w:rsidRPr="00E606F9">
        <w:rPr>
          <w:rFonts w:ascii="inherit" w:eastAsia="Times New Roman" w:hAnsi="inherit" w:cs="Lucida Grande"/>
          <w:color w:val="000000"/>
          <w:sz w:val="20"/>
          <w:szCs w:val="20"/>
          <w:lang w:eastAsia="en-IN"/>
        </w:rPr>
        <w:t xml:space="preserve">What types of businesses are most exposed to currency fluctuations?  To fluctuations in the costs of supplies? To fluctuations in the costs of </w:t>
      </w:r>
      <w:proofErr w:type="spellStart"/>
      <w:r w:rsidRPr="00E606F9">
        <w:rPr>
          <w:rFonts w:ascii="inherit" w:eastAsia="Times New Roman" w:hAnsi="inherit" w:cs="Lucida Grande"/>
          <w:color w:val="000000"/>
          <w:sz w:val="20"/>
          <w:szCs w:val="20"/>
          <w:lang w:eastAsia="en-IN"/>
        </w:rPr>
        <w:t>there</w:t>
      </w:r>
      <w:proofErr w:type="spellEnd"/>
      <w:r w:rsidRPr="00E606F9">
        <w:rPr>
          <w:rFonts w:ascii="inherit" w:eastAsia="Times New Roman" w:hAnsi="inherit" w:cs="Lucida Grande"/>
          <w:color w:val="000000"/>
          <w:sz w:val="20"/>
          <w:szCs w:val="20"/>
          <w:lang w:eastAsia="en-IN"/>
        </w:rPr>
        <w:t xml:space="preserve"> finished products?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bookmarkStart w:id="0" w:name="_GoBack"/>
      <w:bookmarkEnd w:id="0"/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The sharp slide in emerging-markets and the marked pickup in currency volatility following the financial crisis of 2008 and 2009 have forced many companies to work overtime to protect their bottom lines. To</w:t>
      </w:r>
      <w:r w:rsidRPr="00D17382"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  <w:t> </w:t>
      </w: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hedge their currency exposure or</w:t>
      </w:r>
      <w:r w:rsidRPr="00D17382"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  <w:t> </w:t>
      </w: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protect against the impact of exchange rates, these companies</w:t>
      </w:r>
      <w:r w:rsidRPr="00D17382"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  <w:t> </w:t>
      </w: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 xml:space="preserve">use financial derivatives. Although the use of derivatives helps offset risk, an unexpected event can still cause financial </w:t>
      </w:r>
      <w:proofErr w:type="spellStart"/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hemorrhaging</w:t>
      </w:r>
      <w:proofErr w:type="spellEnd"/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.  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 xml:space="preserve">On January 1, 2011, the Venezuelan government established a fixed rate of 4.30 per dollar. Again, on February 13, 2013, the currency was further devalued to a rate of 6.30 per dollar. This change caused many companies to take large charges on the </w:t>
      </w:r>
      <w:proofErr w:type="spellStart"/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remeasurement</w:t>
      </w:r>
      <w:proofErr w:type="spellEnd"/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 xml:space="preserve"> of their Venezuelan operations.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Currency devaluation charges not only distort GAAP numbers by lowering operating earnings, but also artificially boost reported earnings. In other cases, </w:t>
      </w:r>
      <w:r w:rsidRPr="00D17382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en-IN"/>
        </w:rPr>
        <w:t>currency devaluation charges</w:t>
      </w: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 artificially depress reported earnings and make a stock look overvalued.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Many US companies incurred a charge as a result of the Venezuelan bolivar devaluation.</w:t>
      </w:r>
      <w:r w:rsidRPr="00D17382"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  <w:t> </w:t>
      </w:r>
      <w:r w:rsidRPr="00D17382">
        <w:rPr>
          <w:rFonts w:ascii="Arial" w:eastAsia="Times New Roman" w:hAnsi="Arial" w:cs="Arial"/>
          <w:color w:val="000000"/>
          <w:bdr w:val="none" w:sz="0" w:space="0" w:color="auto" w:frame="1"/>
          <w:lang w:eastAsia="en-IN"/>
        </w:rPr>
        <w:t>Here’s a list.</w:t>
      </w:r>
    </w:p>
    <w:tbl>
      <w:tblPr>
        <w:tblW w:w="80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3"/>
        <w:gridCol w:w="4997"/>
      </w:tblGrid>
      <w:tr w:rsidR="00F56436" w:rsidRPr="00D17382" w:rsidTr="002D382A">
        <w:tc>
          <w:tcPr>
            <w:tcW w:w="3192" w:type="dxa"/>
            <w:tcBorders>
              <w:top w:val="single" w:sz="8" w:space="0" w:color="4F81BD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b/>
                <w:bCs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Company</w:t>
            </w:r>
          </w:p>
        </w:tc>
        <w:tc>
          <w:tcPr>
            <w:tcW w:w="5286" w:type="dxa"/>
            <w:tcBorders>
              <w:top w:val="single" w:sz="8" w:space="0" w:color="4F81BD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b/>
                <w:bCs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Venezuelan Bolivar Currency Charges (in $mm)</w:t>
            </w:r>
          </w:p>
        </w:tc>
      </w:tr>
      <w:tr w:rsidR="00F56436" w:rsidRPr="00D17382" w:rsidTr="002D382A">
        <w:tc>
          <w:tcPr>
            <w:tcW w:w="84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b/>
                <w:bCs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2014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Coca-Cola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$247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Proctor &amp; Gamble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$280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Ford Motor Company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$350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 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 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b/>
                <w:bCs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2013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 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Ford Motor Company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$186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Colgate- Palmolive Company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$172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Directv</w:t>
            </w:r>
            <w:proofErr w:type="spellEnd"/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$166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Merck &amp; Co Inc.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$140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PepsiCo Inc.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$126</w:t>
            </w:r>
          </w:p>
        </w:tc>
      </w:tr>
      <w:tr w:rsidR="00F56436" w:rsidRPr="00D17382" w:rsidTr="002D382A">
        <w:tc>
          <w:tcPr>
            <w:tcW w:w="3192" w:type="dxa"/>
            <w:tcBorders>
              <w:top w:val="nil"/>
              <w:left w:val="single" w:sz="8" w:space="0" w:color="auto"/>
              <w:bottom w:val="single" w:sz="8" w:space="0" w:color="4F81BD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Halliburton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8" w:space="0" w:color="4F81BD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6436" w:rsidRPr="00D17382" w:rsidRDefault="00F56436" w:rsidP="002D382A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en-IN"/>
              </w:rPr>
            </w:pPr>
            <w:r w:rsidRPr="00D17382">
              <w:rPr>
                <w:rFonts w:ascii="Arial" w:eastAsia="Times New Roman" w:hAnsi="Arial" w:cs="Arial"/>
                <w:color w:val="262626"/>
                <w:sz w:val="19"/>
                <w:szCs w:val="19"/>
                <w:bdr w:val="none" w:sz="0" w:space="0" w:color="auto" w:frame="1"/>
                <w:lang w:eastAsia="en-IN"/>
              </w:rPr>
              <w:t>$30</w:t>
            </w:r>
          </w:p>
        </w:tc>
      </w:tr>
    </w:tbl>
    <w:p w:rsidR="00F56436" w:rsidRPr="00D17382" w:rsidRDefault="00F56436" w:rsidP="00F56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5" style="width:0;height:1.5pt" o:hralign="center" o:hrstd="t" o:hrnoshade="t" o:hr="t" fillcolor="black" stroked="f"/>
        </w:pic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r w:rsidRPr="00D17382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n-IN"/>
        </w:rPr>
        <w:t>References: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r w:rsidRPr="00D17382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IN"/>
        </w:rPr>
        <w:t>JWMI 531. Lecture 1 W8. Risk Management Tools: Hedging Strategies.</w:t>
      </w:r>
    </w:p>
    <w:p w:rsidR="00F56436" w:rsidRPr="00D17382" w:rsidRDefault="00F56436" w:rsidP="00F56436">
      <w:pPr>
        <w:shd w:val="clear" w:color="auto" w:fill="FFFFFF"/>
        <w:spacing w:after="0" w:line="240" w:lineRule="auto"/>
        <w:outlineLvl w:val="0"/>
        <w:rPr>
          <w:rFonts w:ascii="Lucida Grande" w:eastAsia="Times New Roman" w:hAnsi="Lucida Grande" w:cs="Lucida Grande"/>
          <w:b/>
          <w:bCs/>
          <w:color w:val="000000"/>
          <w:kern w:val="36"/>
          <w:sz w:val="29"/>
          <w:szCs w:val="29"/>
          <w:lang w:eastAsia="en-IN"/>
        </w:rPr>
      </w:pPr>
      <w:r w:rsidRPr="00D17382">
        <w:rPr>
          <w:rFonts w:ascii="Arial" w:eastAsia="Times New Roman" w:hAnsi="Arial" w:cs="Arial"/>
          <w:color w:val="262626"/>
          <w:kern w:val="36"/>
          <w:sz w:val="20"/>
          <w:szCs w:val="20"/>
          <w:bdr w:val="none" w:sz="0" w:space="0" w:color="auto" w:frame="1"/>
          <w:lang w:eastAsia="en-IN"/>
        </w:rPr>
        <w:t>McGrath, M. (2014). Venezuela, Argentina currency devaluations hit P&amp;G expected sales and earnings. </w:t>
      </w:r>
      <w:r w:rsidRPr="00D17382">
        <w:rPr>
          <w:rFonts w:ascii="Arial" w:eastAsia="Times New Roman" w:hAnsi="Arial" w:cs="Arial"/>
          <w:i/>
          <w:iCs/>
          <w:color w:val="262626"/>
          <w:kern w:val="36"/>
          <w:sz w:val="20"/>
          <w:szCs w:val="20"/>
          <w:bdr w:val="none" w:sz="0" w:space="0" w:color="auto" w:frame="1"/>
          <w:lang w:eastAsia="en-IN"/>
        </w:rPr>
        <w:t>Forbes.</w:t>
      </w:r>
      <w:r w:rsidRPr="00D17382">
        <w:rPr>
          <w:rFonts w:ascii="Arial" w:eastAsia="Times New Roman" w:hAnsi="Arial" w:cs="Arial"/>
          <w:color w:val="262626"/>
          <w:kern w:val="36"/>
          <w:sz w:val="20"/>
          <w:szCs w:val="20"/>
          <w:bdr w:val="none" w:sz="0" w:space="0" w:color="auto" w:frame="1"/>
          <w:lang w:eastAsia="en-IN"/>
        </w:rPr>
        <w:t> Retrieved from http://www.forbes.com/sites/maggiemcgrath/2014/02/11/venezuela-argentina-currency-devaluations-hit-pg-expected-sales-and-earnings/</w:t>
      </w:r>
    </w:p>
    <w:p w:rsidR="00F56436" w:rsidRPr="00D17382" w:rsidRDefault="00F56436" w:rsidP="00F56436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en-IN"/>
        </w:rPr>
      </w:pPr>
      <w:proofErr w:type="spellStart"/>
      <w:r w:rsidRPr="00D17382">
        <w:rPr>
          <w:rFonts w:ascii="Arial" w:eastAsia="Times New Roman" w:hAnsi="Arial" w:cs="Arial"/>
          <w:color w:val="262626"/>
          <w:sz w:val="20"/>
          <w:szCs w:val="20"/>
          <w:bdr w:val="none" w:sz="0" w:space="0" w:color="auto" w:frame="1"/>
          <w:lang w:eastAsia="en-IN"/>
        </w:rPr>
        <w:t>Naughton</w:t>
      </w:r>
      <w:proofErr w:type="spellEnd"/>
      <w:r w:rsidRPr="00D17382">
        <w:rPr>
          <w:rFonts w:ascii="Arial" w:eastAsia="Times New Roman" w:hAnsi="Arial" w:cs="Arial"/>
          <w:color w:val="262626"/>
          <w:sz w:val="20"/>
          <w:szCs w:val="20"/>
          <w:bdr w:val="none" w:sz="0" w:space="0" w:color="auto" w:frame="1"/>
          <w:lang w:eastAsia="en-IN"/>
        </w:rPr>
        <w:t xml:space="preserve">, K. (2014). Ford to </w:t>
      </w:r>
      <w:proofErr w:type="gramStart"/>
      <w:r w:rsidRPr="00D17382">
        <w:rPr>
          <w:rFonts w:ascii="Arial" w:eastAsia="Times New Roman" w:hAnsi="Arial" w:cs="Arial"/>
          <w:color w:val="262626"/>
          <w:sz w:val="20"/>
          <w:szCs w:val="20"/>
          <w:bdr w:val="none" w:sz="0" w:space="0" w:color="auto" w:frame="1"/>
          <w:lang w:eastAsia="en-IN"/>
        </w:rPr>
        <w:t>Take</w:t>
      </w:r>
      <w:proofErr w:type="gramEnd"/>
      <w:r w:rsidRPr="00D17382">
        <w:rPr>
          <w:rFonts w:ascii="Arial" w:eastAsia="Times New Roman" w:hAnsi="Arial" w:cs="Arial"/>
          <w:color w:val="262626"/>
          <w:sz w:val="20"/>
          <w:szCs w:val="20"/>
          <w:bdr w:val="none" w:sz="0" w:space="0" w:color="auto" w:frame="1"/>
          <w:lang w:eastAsia="en-IN"/>
        </w:rPr>
        <w:t xml:space="preserve"> $350 million charge on Venezuela devaluation. </w:t>
      </w:r>
      <w:r w:rsidRPr="00D17382">
        <w:rPr>
          <w:rFonts w:ascii="Arial" w:eastAsia="Times New Roman" w:hAnsi="Arial" w:cs="Arial"/>
          <w:i/>
          <w:iCs/>
          <w:color w:val="262626"/>
          <w:sz w:val="20"/>
          <w:szCs w:val="20"/>
          <w:bdr w:val="none" w:sz="0" w:space="0" w:color="auto" w:frame="1"/>
          <w:lang w:eastAsia="en-IN"/>
        </w:rPr>
        <w:t>Bloomberg.</w:t>
      </w:r>
      <w:r w:rsidRPr="00D17382">
        <w:rPr>
          <w:rFonts w:ascii="Arial" w:eastAsia="Times New Roman" w:hAnsi="Arial" w:cs="Arial"/>
          <w:color w:val="262626"/>
          <w:sz w:val="20"/>
          <w:szCs w:val="20"/>
          <w:bdr w:val="none" w:sz="0" w:space="0" w:color="auto" w:frame="1"/>
          <w:lang w:eastAsia="en-IN"/>
        </w:rPr>
        <w:t> Retrieved from http://www.bloomberg.com/news/2014-04-01/ford-to-take-350-million-charge-on-venezuela-devaluation.html</w:t>
      </w:r>
    </w:p>
    <w:p w:rsidR="00F56436" w:rsidRDefault="00F56436" w:rsidP="00F564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IN"/>
        </w:rPr>
      </w:pPr>
      <w:r w:rsidRPr="00D1738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IN"/>
        </w:rPr>
        <w:t>Trainer, D.  (2014). Currency fluctuations bite both ways. </w:t>
      </w:r>
      <w:r w:rsidRPr="00D17382">
        <w:rPr>
          <w:rFonts w:ascii="Arial" w:eastAsia="Times New Roman" w:hAnsi="Arial" w:cs="Arial"/>
          <w:i/>
          <w:iCs/>
          <w:color w:val="000000"/>
          <w:sz w:val="20"/>
          <w:szCs w:val="20"/>
          <w:bdr w:val="none" w:sz="0" w:space="0" w:color="auto" w:frame="1"/>
          <w:lang w:eastAsia="en-IN"/>
        </w:rPr>
        <w:t>Forbes.</w:t>
      </w:r>
      <w:r w:rsidRPr="00D17382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n-IN"/>
        </w:rPr>
        <w:t xml:space="preserve"> Retrieved from </w:t>
      </w:r>
      <w:hyperlink r:id="rId5" w:history="1">
        <w:r w:rsidRPr="00924E95">
          <w:rPr>
            <w:rStyle w:val="Hyperlink"/>
            <w:rFonts w:ascii="Arial" w:eastAsia="Times New Roman" w:hAnsi="Arial" w:cs="Arial"/>
            <w:sz w:val="20"/>
            <w:szCs w:val="20"/>
            <w:bdr w:val="none" w:sz="0" w:space="0" w:color="auto" w:frame="1"/>
            <w:lang w:eastAsia="en-IN"/>
          </w:rPr>
          <w:t>http://www.forbes.com/sites/greatspeculations/2014/03/31/currency-fluctuations-bite-both-ways/</w:t>
        </w:r>
      </w:hyperlink>
    </w:p>
    <w:p w:rsidR="005D3690" w:rsidRDefault="005D3690"/>
    <w:sectPr w:rsidR="005D36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2590F"/>
    <w:multiLevelType w:val="multilevel"/>
    <w:tmpl w:val="A26C8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36"/>
    <w:rsid w:val="005D3690"/>
    <w:rsid w:val="00F5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F4CE4-2F06-4F34-89D4-E0AD47C0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4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64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orbes.com/sites/greatspeculations/2014/03/31/currency-fluctuations-bite-both-way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2018</Characters>
  <Application>Microsoft Office Word</Application>
  <DocSecurity>0</DocSecurity>
  <Lines>16</Lines>
  <Paragraphs>4</Paragraphs>
  <ScaleCrop>false</ScaleCrop>
  <Company>Hewlett-Packard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2014-08-21T22:07:00Z</dcterms:created>
  <dcterms:modified xsi:type="dcterms:W3CDTF">2014-08-21T22:08:00Z</dcterms:modified>
</cp:coreProperties>
</file>