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96118" w14:textId="0CE92DCC" w:rsidR="00E160E5" w:rsidRPr="006268FB" w:rsidRDefault="00E160E5" w:rsidP="00E160E5">
      <w:pPr>
        <w:tabs>
          <w:tab w:val="center" w:pos="4680"/>
        </w:tabs>
        <w:jc w:val="center"/>
        <w:rPr>
          <w:rFonts w:eastAsia="Arial Unicode MS"/>
          <w:b/>
        </w:rPr>
      </w:pPr>
    </w:p>
    <w:p w14:paraId="7210B480" w14:textId="1B3D47D7" w:rsidR="00B055E0" w:rsidRPr="0066237D" w:rsidRDefault="00E160E5" w:rsidP="000C4406">
      <w:pPr>
        <w:tabs>
          <w:tab w:val="center" w:pos="4680"/>
        </w:tabs>
        <w:jc w:val="center"/>
        <w:rPr>
          <w:b/>
          <w:szCs w:val="20"/>
        </w:rPr>
      </w:pPr>
      <w:r w:rsidRPr="00097EA6">
        <w:rPr>
          <w:b/>
        </w:rPr>
        <w:t xml:space="preserve">Nursing Informatics: </w:t>
      </w:r>
    </w:p>
    <w:p w14:paraId="05E997CD" w14:textId="77777777" w:rsidR="008A2A42" w:rsidRDefault="008A2A42" w:rsidP="00CF6C5F">
      <w:pPr>
        <w:jc w:val="center"/>
        <w:rPr>
          <w:rFonts w:cs="Times New Roman"/>
          <w:b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0"/>
        <w:gridCol w:w="4866"/>
      </w:tblGrid>
      <w:tr w:rsidR="00140EC4" w14:paraId="2EDA89A4" w14:textId="77777777" w:rsidTr="007A3B2B">
        <w:tc>
          <w:tcPr>
            <w:tcW w:w="4710" w:type="dxa"/>
          </w:tcPr>
          <w:p w14:paraId="534DE6FF" w14:textId="74B968A8" w:rsidR="0026068C" w:rsidRDefault="007A3B2B" w:rsidP="0026068C">
            <w:pPr>
              <w:ind w:firstLine="720"/>
              <w:jc w:val="both"/>
              <w:rPr>
                <w:rFonts w:cs="Times New Roman"/>
                <w:color w:val="333333"/>
                <w:szCs w:val="24"/>
                <w:shd w:val="clear" w:color="auto" w:fill="FFFFFF"/>
              </w:rPr>
            </w:pPr>
            <w:r w:rsidRPr="0066237D">
              <w:rPr>
                <w:rFonts w:cs="Times New Roman"/>
                <w:szCs w:val="24"/>
              </w:rPr>
              <w:t>Chapters 22 and 35, novel and promising areas in health informatics</w:t>
            </w:r>
            <w:r w:rsidR="00A85935">
              <w:rPr>
                <w:rFonts w:cs="Times New Roman"/>
                <w:szCs w:val="24"/>
              </w:rPr>
              <w:t>,</w:t>
            </w:r>
            <w:r w:rsidRPr="0066237D">
              <w:rPr>
                <w:rFonts w:cs="Times New Roman"/>
                <w:szCs w:val="24"/>
              </w:rPr>
              <w:t xml:space="preserve"> are introduced. </w:t>
            </w:r>
            <w:r w:rsidR="00140EC4" w:rsidRPr="0066237D">
              <w:rPr>
                <w:rFonts w:cs="Times New Roman"/>
                <w:szCs w:val="24"/>
              </w:rPr>
              <w:t>In Chapter 22</w:t>
            </w:r>
            <w:r w:rsidR="00A85935">
              <w:rPr>
                <w:rFonts w:cs="Times New Roman"/>
                <w:szCs w:val="24"/>
              </w:rPr>
              <w:t>,</w:t>
            </w:r>
            <w:r w:rsidR="00140EC4" w:rsidRPr="0066237D">
              <w:rPr>
                <w:rFonts w:cs="Times New Roman"/>
                <w:szCs w:val="24"/>
              </w:rPr>
              <w:t xml:space="preserve"> Barton provides an introduction and overview </w:t>
            </w:r>
            <w:r w:rsidR="00A85935">
              <w:rPr>
                <w:rFonts w:cs="Times New Roman"/>
                <w:szCs w:val="24"/>
              </w:rPr>
              <w:t>of</w:t>
            </w:r>
            <w:r w:rsidR="00140EC4" w:rsidRPr="0066237D">
              <w:rPr>
                <w:rFonts w:cs="Times New Roman"/>
                <w:szCs w:val="24"/>
              </w:rPr>
              <w:t xml:space="preserve"> eHealth. </w:t>
            </w:r>
            <w:r w:rsidR="007A4AC4" w:rsidRPr="0066237D">
              <w:rPr>
                <w:rFonts w:cs="Times New Roman"/>
                <w:szCs w:val="24"/>
              </w:rPr>
              <w:t>The author notes that eHeal</w:t>
            </w:r>
            <w:r w:rsidR="00735091">
              <w:rPr>
                <w:rFonts w:cs="Times New Roman"/>
                <w:szCs w:val="24"/>
              </w:rPr>
              <w:t>th</w:t>
            </w:r>
            <w:r w:rsidR="007A4AC4" w:rsidRPr="0066237D">
              <w:rPr>
                <w:rFonts w:cs="Times New Roman"/>
                <w:szCs w:val="24"/>
              </w:rPr>
              <w:t xml:space="preserve"> is an emerging field within </w:t>
            </w:r>
            <w:r w:rsidR="0066237D">
              <w:rPr>
                <w:rFonts w:cs="Times New Roman"/>
                <w:szCs w:val="24"/>
              </w:rPr>
              <w:t>informatics</w:t>
            </w:r>
            <w:r w:rsidR="007A4AC4" w:rsidRPr="0066237D">
              <w:rPr>
                <w:rFonts w:cs="Times New Roman"/>
                <w:szCs w:val="24"/>
              </w:rPr>
              <w:t xml:space="preserve"> (2015, p</w:t>
            </w:r>
            <w:r w:rsidR="00A85935">
              <w:rPr>
                <w:rFonts w:cs="Times New Roman"/>
                <w:szCs w:val="24"/>
              </w:rPr>
              <w:t>.</w:t>
            </w:r>
            <w:r w:rsidR="007A4AC4" w:rsidRPr="0066237D">
              <w:rPr>
                <w:rFonts w:cs="Times New Roman"/>
                <w:szCs w:val="24"/>
              </w:rPr>
              <w:t xml:space="preserve"> 334). </w:t>
            </w:r>
            <w:r w:rsidR="00140EC4" w:rsidRPr="0066237D">
              <w:rPr>
                <w:rFonts w:cs="Times New Roman"/>
                <w:szCs w:val="24"/>
              </w:rPr>
              <w:t xml:space="preserve">eHealth is </w:t>
            </w:r>
            <w:r w:rsidR="007A4AC4" w:rsidRPr="0066237D">
              <w:rPr>
                <w:rFonts w:cs="Times New Roman"/>
                <w:szCs w:val="24"/>
              </w:rPr>
              <w:t>broadl</w:t>
            </w:r>
            <w:r w:rsidR="001E06ED" w:rsidRPr="0066237D">
              <w:rPr>
                <w:rFonts w:cs="Times New Roman"/>
                <w:szCs w:val="24"/>
              </w:rPr>
              <w:t>y</w:t>
            </w:r>
            <w:r w:rsidR="007A4AC4" w:rsidRPr="0066237D">
              <w:rPr>
                <w:rFonts w:cs="Times New Roman"/>
                <w:szCs w:val="24"/>
              </w:rPr>
              <w:t xml:space="preserve"> </w:t>
            </w:r>
            <w:r w:rsidR="00140EC4" w:rsidRPr="0066237D">
              <w:rPr>
                <w:rFonts w:cs="Times New Roman"/>
                <w:szCs w:val="24"/>
              </w:rPr>
              <w:t xml:space="preserve">defined as </w:t>
            </w:r>
            <w:r w:rsidR="009E4C9A" w:rsidRPr="0066237D">
              <w:rPr>
                <w:rFonts w:cs="Times New Roman"/>
                <w:szCs w:val="24"/>
              </w:rPr>
              <w:t>“</w:t>
            </w:r>
            <w:r w:rsidR="00140EC4" w:rsidRPr="0066237D">
              <w:rPr>
                <w:rFonts w:cs="Times New Roman"/>
                <w:color w:val="333333"/>
                <w:szCs w:val="24"/>
                <w:shd w:val="clear" w:color="auto" w:fill="FFFFFF"/>
              </w:rPr>
              <w:t>the use of information and communication technologies (ICT) for health</w:t>
            </w:r>
            <w:r w:rsidR="009E4C9A" w:rsidRPr="0066237D">
              <w:rPr>
                <w:rFonts w:cs="Times New Roman"/>
                <w:color w:val="333333"/>
                <w:szCs w:val="24"/>
                <w:shd w:val="clear" w:color="auto" w:fill="FFFFFF"/>
              </w:rPr>
              <w:t>”</w:t>
            </w:r>
            <w:r w:rsidR="00140EC4" w:rsidRPr="0066237D">
              <w:rPr>
                <w:rFonts w:cs="Times New Roman"/>
                <w:color w:val="333333"/>
                <w:szCs w:val="24"/>
                <w:shd w:val="clear" w:color="auto" w:fill="FFFFFF"/>
              </w:rPr>
              <w:t xml:space="preserve"> (World Health Organization (WHO), 2018, </w:t>
            </w:r>
          </w:p>
          <w:p w14:paraId="2E8AA0A4" w14:textId="6BA5D0F3" w:rsidR="00140EC4" w:rsidRDefault="00140EC4" w:rsidP="0026068C">
            <w:pPr>
              <w:jc w:val="both"/>
              <w:rPr>
                <w:rFonts w:cs="Times New Roman"/>
                <w:color w:val="333333"/>
                <w:szCs w:val="24"/>
                <w:shd w:val="clear" w:color="auto" w:fill="FFFFFF"/>
              </w:rPr>
            </w:pPr>
            <w:r w:rsidRPr="0066237D">
              <w:rPr>
                <w:rFonts w:cs="Times New Roman"/>
                <w:color w:val="333333"/>
                <w:szCs w:val="24"/>
                <w:shd w:val="clear" w:color="auto" w:fill="FFFFFF"/>
              </w:rPr>
              <w:t>p. 1).</w:t>
            </w:r>
            <w:r w:rsidRPr="00140EC4">
              <w:rPr>
                <w:rFonts w:cs="Times New Roman"/>
                <w:color w:val="333333"/>
                <w:szCs w:val="24"/>
                <w:shd w:val="clear" w:color="auto" w:fill="FFFFFF"/>
              </w:rPr>
              <w:t> </w:t>
            </w:r>
          </w:p>
          <w:p w14:paraId="174170F2" w14:textId="77777777" w:rsidR="002548CA" w:rsidRDefault="002548CA" w:rsidP="0026068C">
            <w:pPr>
              <w:ind w:firstLine="720"/>
              <w:jc w:val="both"/>
              <w:rPr>
                <w:rFonts w:cs="Times New Roman"/>
                <w:color w:val="333333"/>
                <w:szCs w:val="24"/>
                <w:shd w:val="clear" w:color="auto" w:fill="FFFFFF"/>
              </w:rPr>
            </w:pPr>
          </w:p>
          <w:p w14:paraId="4496C4B0" w14:textId="77777777" w:rsidR="00AC4DB5" w:rsidRPr="00140EC4" w:rsidRDefault="00AC4DB5" w:rsidP="0026068C">
            <w:pPr>
              <w:ind w:firstLine="720"/>
              <w:jc w:val="both"/>
              <w:rPr>
                <w:rFonts w:cs="Times New Roman"/>
                <w:szCs w:val="24"/>
              </w:rPr>
            </w:pPr>
            <w:r w:rsidRPr="0066237D">
              <w:rPr>
                <w:rFonts w:cs="Times New Roman"/>
                <w:color w:val="333333"/>
                <w:szCs w:val="24"/>
                <w:shd w:val="clear" w:color="auto" w:fill="FFFFFF"/>
              </w:rPr>
              <w:t xml:space="preserve">eHealth technologies can provide opportunities for customized and meaningful communications which is customized to the patient (Barton, 2015, p 334). Furthermore, </w:t>
            </w:r>
          </w:p>
        </w:tc>
        <w:tc>
          <w:tcPr>
            <w:tcW w:w="4866" w:type="dxa"/>
          </w:tcPr>
          <w:p w14:paraId="6704666E" w14:textId="77777777" w:rsidR="00140EC4" w:rsidRPr="0066237D" w:rsidRDefault="00140EC4" w:rsidP="0026068C">
            <w:pPr>
              <w:jc w:val="both"/>
              <w:rPr>
                <w:rFonts w:cs="Times New Roman"/>
                <w:b/>
                <w:szCs w:val="24"/>
              </w:rPr>
            </w:pPr>
            <w:r w:rsidRPr="0066237D">
              <w:rPr>
                <w:rFonts w:cs="Times New Roman"/>
                <w:b/>
                <w:noProof/>
                <w:szCs w:val="24"/>
              </w:rPr>
              <w:drawing>
                <wp:inline distT="0" distB="0" distL="0" distR="0" wp14:anchorId="756111F7" wp14:editId="48470615">
                  <wp:extent cx="2870019" cy="1866900"/>
                  <wp:effectExtent l="0" t="0" r="6985" b="0"/>
                  <wp:docPr id="1" name="Picture 1" descr="https://patientengagementhit.com/images/site/features/_large/ACA_Resource_Feature_Vect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atientengagementhit.com/images/site/features/_large/ACA_Resource_Feature_Vect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297" cy="1999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DF1FD7" w14:textId="77777777" w:rsidR="00140EC4" w:rsidRPr="0066237D" w:rsidRDefault="00AC4DB5" w:rsidP="0026068C">
      <w:pPr>
        <w:jc w:val="both"/>
        <w:rPr>
          <w:rFonts w:cs="Times New Roman"/>
          <w:szCs w:val="24"/>
        </w:rPr>
      </w:pPr>
      <w:r w:rsidRPr="0066237D">
        <w:rPr>
          <w:rFonts w:cs="Times New Roman"/>
          <w:szCs w:val="24"/>
        </w:rPr>
        <w:t>eHealth can empower consumers and patients.</w:t>
      </w:r>
    </w:p>
    <w:p w14:paraId="5AD5249D" w14:textId="77777777" w:rsidR="00AC4DB5" w:rsidRDefault="00AC4DB5" w:rsidP="00AC4DB5">
      <w:pPr>
        <w:rPr>
          <w:rFonts w:cs="Times New Roman"/>
          <w:szCs w:val="24"/>
        </w:rPr>
      </w:pPr>
    </w:p>
    <w:p w14:paraId="3DEA8D00" w14:textId="07F0E773" w:rsidR="00AC4DB5" w:rsidRPr="0066237D" w:rsidRDefault="00AC4DB5" w:rsidP="0041340D">
      <w:pPr>
        <w:ind w:firstLine="720"/>
        <w:rPr>
          <w:rFonts w:cs="Times New Roman"/>
          <w:szCs w:val="24"/>
        </w:rPr>
      </w:pPr>
      <w:r w:rsidRPr="0066237D">
        <w:rPr>
          <w:rFonts w:cs="Times New Roman"/>
          <w:szCs w:val="24"/>
        </w:rPr>
        <w:t>Of particular interest</w:t>
      </w:r>
      <w:r w:rsidR="00A85935">
        <w:rPr>
          <w:rFonts w:cs="Times New Roman"/>
          <w:szCs w:val="24"/>
        </w:rPr>
        <w:t>,</w:t>
      </w:r>
      <w:r w:rsidRPr="0066237D">
        <w:rPr>
          <w:rFonts w:cs="Times New Roman"/>
          <w:szCs w:val="24"/>
        </w:rPr>
        <w:t xml:space="preserve"> Barton </w:t>
      </w:r>
      <w:r w:rsidR="002A6824" w:rsidRPr="0066237D">
        <w:rPr>
          <w:rFonts w:cs="Times New Roman"/>
          <w:szCs w:val="24"/>
        </w:rPr>
        <w:t xml:space="preserve">(2015) </w:t>
      </w:r>
      <w:r w:rsidRPr="0066237D">
        <w:rPr>
          <w:rFonts w:cs="Times New Roman"/>
          <w:szCs w:val="24"/>
        </w:rPr>
        <w:t xml:space="preserve">identifies </w:t>
      </w:r>
      <w:proofErr w:type="gramStart"/>
      <w:r w:rsidRPr="0066237D">
        <w:rPr>
          <w:rFonts w:cs="Times New Roman"/>
          <w:szCs w:val="24"/>
        </w:rPr>
        <w:t>a number of</w:t>
      </w:r>
      <w:proofErr w:type="gramEnd"/>
      <w:r w:rsidRPr="0066237D">
        <w:rPr>
          <w:rFonts w:cs="Times New Roman"/>
          <w:szCs w:val="24"/>
        </w:rPr>
        <w:t xml:space="preserve"> eHealth applications including</w:t>
      </w:r>
    </w:p>
    <w:p w14:paraId="6A301D67" w14:textId="77777777" w:rsidR="00AC4DB5" w:rsidRPr="0066237D" w:rsidRDefault="00AC4DB5" w:rsidP="0041340D">
      <w:pPr>
        <w:pStyle w:val="ListParagraph"/>
        <w:numPr>
          <w:ilvl w:val="0"/>
          <w:numId w:val="2"/>
        </w:numPr>
        <w:ind w:firstLine="36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The Internet</w:t>
      </w:r>
    </w:p>
    <w:p w14:paraId="52E4E18B" w14:textId="77777777" w:rsidR="00AC4DB5" w:rsidRPr="0066237D" w:rsidRDefault="00AC4DB5" w:rsidP="0041340D">
      <w:pPr>
        <w:pStyle w:val="ListParagraph"/>
        <w:numPr>
          <w:ilvl w:val="0"/>
          <w:numId w:val="2"/>
        </w:numPr>
        <w:ind w:firstLine="36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Personal health record</w:t>
      </w:r>
    </w:p>
    <w:p w14:paraId="31AD6544" w14:textId="77777777" w:rsidR="00AC4DB5" w:rsidRPr="0066237D" w:rsidRDefault="00AC4DB5" w:rsidP="0041340D">
      <w:pPr>
        <w:pStyle w:val="ListParagraph"/>
        <w:numPr>
          <w:ilvl w:val="0"/>
          <w:numId w:val="2"/>
        </w:numPr>
        <w:ind w:firstLine="36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 xml:space="preserve">Wearable and portable monitoring systems </w:t>
      </w:r>
    </w:p>
    <w:p w14:paraId="6412BE63" w14:textId="77777777" w:rsidR="00AC4DB5" w:rsidRPr="0066237D" w:rsidRDefault="00AC4DB5" w:rsidP="0041340D">
      <w:pPr>
        <w:pStyle w:val="ListParagraph"/>
        <w:numPr>
          <w:ilvl w:val="0"/>
          <w:numId w:val="2"/>
        </w:numPr>
        <w:ind w:firstLine="36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Virtual worlds</w:t>
      </w:r>
    </w:p>
    <w:p w14:paraId="3E1ED041" w14:textId="77777777" w:rsidR="00AC4DB5" w:rsidRPr="0066237D" w:rsidRDefault="00AC4DB5" w:rsidP="0041340D">
      <w:pPr>
        <w:pStyle w:val="ListParagraph"/>
        <w:numPr>
          <w:ilvl w:val="0"/>
          <w:numId w:val="2"/>
        </w:numPr>
        <w:ind w:firstLine="36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 xml:space="preserve">Health portals </w:t>
      </w:r>
    </w:p>
    <w:p w14:paraId="3F2823DB" w14:textId="77777777" w:rsidR="00AC4DB5" w:rsidRPr="0066237D" w:rsidRDefault="00AC4DB5" w:rsidP="0041340D">
      <w:pPr>
        <w:pStyle w:val="ListParagraph"/>
        <w:numPr>
          <w:ilvl w:val="0"/>
          <w:numId w:val="2"/>
        </w:numPr>
        <w:ind w:firstLine="36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Web 2.0: Social media (Facebook, Twitter, and YouTube)</w:t>
      </w:r>
    </w:p>
    <w:p w14:paraId="01F46506" w14:textId="77777777" w:rsidR="00264887" w:rsidRPr="0066237D" w:rsidRDefault="00264887" w:rsidP="0041340D">
      <w:pPr>
        <w:pStyle w:val="ListParagraph"/>
        <w:numPr>
          <w:ilvl w:val="0"/>
          <w:numId w:val="2"/>
        </w:numPr>
        <w:ind w:firstLine="36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 xml:space="preserve">mHealth </w:t>
      </w:r>
    </w:p>
    <w:p w14:paraId="17D45034" w14:textId="77777777" w:rsidR="0027482B" w:rsidRDefault="002A6824" w:rsidP="0041340D">
      <w:pPr>
        <w:ind w:firstLine="720"/>
        <w:rPr>
          <w:rFonts w:cs="Times New Roman"/>
          <w:szCs w:val="24"/>
        </w:rPr>
      </w:pPr>
      <w:r w:rsidRPr="0066237D">
        <w:rPr>
          <w:rFonts w:cs="Times New Roman"/>
          <w:szCs w:val="24"/>
        </w:rPr>
        <w:t>Notably, Barton succinctly identifies and describes</w:t>
      </w:r>
      <w:r w:rsidR="00FC579D" w:rsidRPr="0066237D">
        <w:rPr>
          <w:rFonts w:cs="Times New Roman"/>
          <w:szCs w:val="24"/>
        </w:rPr>
        <w:t xml:space="preserve"> various challenges and issues. These include</w:t>
      </w:r>
    </w:p>
    <w:p w14:paraId="47159723" w14:textId="77777777" w:rsidR="00FC579D" w:rsidRPr="0066237D" w:rsidRDefault="00FC579D" w:rsidP="0041340D">
      <w:pPr>
        <w:pStyle w:val="ListParagraph"/>
        <w:numPr>
          <w:ilvl w:val="0"/>
          <w:numId w:val="3"/>
        </w:numPr>
        <w:ind w:firstLine="36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Licensure</w:t>
      </w:r>
    </w:p>
    <w:p w14:paraId="2253E5B2" w14:textId="77777777" w:rsidR="00FC579D" w:rsidRPr="0066237D" w:rsidRDefault="00FC579D" w:rsidP="0041340D">
      <w:pPr>
        <w:pStyle w:val="ListParagraph"/>
        <w:numPr>
          <w:ilvl w:val="0"/>
          <w:numId w:val="3"/>
        </w:numPr>
        <w:ind w:firstLine="36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Ethical issues (Privacy and Confidentiality)</w:t>
      </w:r>
    </w:p>
    <w:p w14:paraId="079F9830" w14:textId="77777777" w:rsidR="00FC579D" w:rsidRPr="0066237D" w:rsidRDefault="00FC579D" w:rsidP="0041340D">
      <w:pPr>
        <w:pStyle w:val="ListParagraph"/>
        <w:numPr>
          <w:ilvl w:val="0"/>
          <w:numId w:val="3"/>
        </w:numPr>
        <w:ind w:firstLine="36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Data security</w:t>
      </w:r>
    </w:p>
    <w:p w14:paraId="109E1799" w14:textId="77777777" w:rsidR="00FC579D" w:rsidRPr="0066237D" w:rsidRDefault="00FC579D" w:rsidP="0041340D">
      <w:pPr>
        <w:pStyle w:val="ListParagraph"/>
        <w:numPr>
          <w:ilvl w:val="0"/>
          <w:numId w:val="3"/>
        </w:numPr>
        <w:ind w:firstLine="36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System security</w:t>
      </w:r>
    </w:p>
    <w:p w14:paraId="1BFBF7DD" w14:textId="77777777" w:rsidR="00AC4DB5" w:rsidRDefault="0017180E" w:rsidP="0041340D">
      <w:pPr>
        <w:ind w:firstLine="720"/>
        <w:rPr>
          <w:rFonts w:cs="Times New Roman"/>
          <w:szCs w:val="24"/>
        </w:rPr>
      </w:pPr>
      <w:r w:rsidRPr="0066237D">
        <w:rPr>
          <w:rFonts w:cs="Times New Roman"/>
          <w:szCs w:val="24"/>
        </w:rPr>
        <w:t>Markedly, Barton postulates emerging issues and challenges. Baron has identified the following</w:t>
      </w:r>
    </w:p>
    <w:p w14:paraId="2C60A45D" w14:textId="77777777" w:rsidR="0017180E" w:rsidRPr="0066237D" w:rsidRDefault="0017180E" w:rsidP="0041340D">
      <w:pPr>
        <w:pStyle w:val="ListParagraph"/>
        <w:numPr>
          <w:ilvl w:val="0"/>
          <w:numId w:val="4"/>
        </w:numPr>
        <w:ind w:firstLine="36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Regulation of mHealth applications</w:t>
      </w:r>
    </w:p>
    <w:p w14:paraId="128E5DC7" w14:textId="77777777" w:rsidR="0017180E" w:rsidRPr="0066237D" w:rsidRDefault="0017180E" w:rsidP="0041340D">
      <w:pPr>
        <w:pStyle w:val="ListParagraph"/>
        <w:numPr>
          <w:ilvl w:val="0"/>
          <w:numId w:val="4"/>
        </w:numPr>
        <w:ind w:firstLine="36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Public policy</w:t>
      </w:r>
    </w:p>
    <w:p w14:paraId="7AB05489" w14:textId="3FEBE857" w:rsidR="000C3836" w:rsidRPr="000C3836" w:rsidRDefault="00A620CF" w:rsidP="0041340D">
      <w:pPr>
        <w:ind w:firstLine="720"/>
        <w:rPr>
          <w:rFonts w:cs="Times New Roman"/>
          <w:szCs w:val="24"/>
        </w:rPr>
      </w:pPr>
      <w:r w:rsidRPr="0066237D">
        <w:rPr>
          <w:rFonts w:cs="Times New Roman"/>
          <w:szCs w:val="24"/>
        </w:rPr>
        <w:t xml:space="preserve">As part of the </w:t>
      </w:r>
      <w:r w:rsidRPr="0066237D">
        <w:rPr>
          <w:rFonts w:cs="Times New Roman"/>
          <w:i/>
          <w:szCs w:val="24"/>
        </w:rPr>
        <w:t>Health IT</w:t>
      </w:r>
      <w:r w:rsidR="0066237D" w:rsidRPr="0066237D">
        <w:rPr>
          <w:rFonts w:cs="Times New Roman"/>
          <w:i/>
          <w:szCs w:val="24"/>
        </w:rPr>
        <w:t xml:space="preserve"> Strategic Plan,</w:t>
      </w:r>
      <w:r w:rsidRPr="0066237D">
        <w:rPr>
          <w:rFonts w:cs="Times New Roman"/>
          <w:szCs w:val="24"/>
        </w:rPr>
        <w:t xml:space="preserve"> the ONC (2015) addres</w:t>
      </w:r>
      <w:r w:rsidR="00A85935">
        <w:rPr>
          <w:rFonts w:cs="Times New Roman"/>
          <w:szCs w:val="24"/>
        </w:rPr>
        <w:t>se</w:t>
      </w:r>
      <w:r w:rsidRPr="0066237D">
        <w:rPr>
          <w:rFonts w:cs="Times New Roman"/>
          <w:szCs w:val="24"/>
        </w:rPr>
        <w:t>s various aspects of mHealth. Specifically, the ONC (2015) proposes to “</w:t>
      </w:r>
      <w:r w:rsidRPr="0066237D">
        <w:t xml:space="preserve">Increase the use of telehealth, virtual medicine, and innovative technologies (e.g., sensors, mobile technology, medical devices, assistive technologies, </w:t>
      </w:r>
      <w:proofErr w:type="spellStart"/>
      <w:r w:rsidRPr="0066237D">
        <w:t>eVisits</w:t>
      </w:r>
      <w:proofErr w:type="spellEnd"/>
      <w:r w:rsidRPr="0066237D">
        <w:t>) in federal care delivery systems and programs</w:t>
      </w:r>
      <w:r w:rsidRPr="0066237D">
        <w:rPr>
          <w:rFonts w:cs="Times New Roman"/>
          <w:szCs w:val="24"/>
        </w:rPr>
        <w:t xml:space="preserve"> (p. 34).</w:t>
      </w:r>
      <w:r>
        <w:rPr>
          <w:rFonts w:cs="Times New Roman"/>
          <w:szCs w:val="24"/>
        </w:rPr>
        <w:t xml:space="preserve"> </w:t>
      </w:r>
    </w:p>
    <w:p w14:paraId="59A80347" w14:textId="77777777" w:rsidR="00AC4DB5" w:rsidRDefault="00AC4DB5" w:rsidP="00AC4DB5">
      <w:pPr>
        <w:rPr>
          <w:rFonts w:cs="Times New Roman"/>
          <w:szCs w:val="24"/>
        </w:rPr>
      </w:pPr>
    </w:p>
    <w:p w14:paraId="1D92B035" w14:textId="77777777" w:rsidR="00AC4DB5" w:rsidRDefault="00277F23" w:rsidP="0041340D">
      <w:pPr>
        <w:ind w:firstLine="720"/>
        <w:rPr>
          <w:rFonts w:cs="Times New Roman"/>
          <w:szCs w:val="24"/>
        </w:rPr>
      </w:pPr>
      <w:r w:rsidRPr="0066237D">
        <w:rPr>
          <w:rFonts w:cs="Times New Roman"/>
          <w:szCs w:val="24"/>
        </w:rPr>
        <w:t>In summarizing the chapter, Barton states, “healthcare professionals need to seize the opportunities made possible by advanced technologies and create powerful and human-centered applications to facilitate consumers’ full participation in health and wellness” (2015, p. 340).</w:t>
      </w:r>
      <w:r>
        <w:rPr>
          <w:rFonts w:cs="Times New Roman"/>
          <w:szCs w:val="24"/>
        </w:rPr>
        <w:t xml:space="preserve"> </w:t>
      </w:r>
    </w:p>
    <w:p w14:paraId="1F7EACEF" w14:textId="77777777" w:rsidR="002548CA" w:rsidRDefault="002548CA" w:rsidP="0041340D">
      <w:pPr>
        <w:ind w:firstLine="720"/>
        <w:rPr>
          <w:rFonts w:cs="Times New Roman"/>
          <w:szCs w:val="24"/>
        </w:rPr>
      </w:pPr>
    </w:p>
    <w:p w14:paraId="59BD11D5" w14:textId="1F7C3F4A" w:rsidR="00AC4DB5" w:rsidRPr="0066237D" w:rsidRDefault="007A3B2B" w:rsidP="0041340D">
      <w:pPr>
        <w:ind w:firstLine="720"/>
        <w:rPr>
          <w:rFonts w:cs="Times New Roman"/>
          <w:szCs w:val="24"/>
        </w:rPr>
      </w:pPr>
      <w:r w:rsidRPr="0066237D">
        <w:rPr>
          <w:rFonts w:cs="Times New Roman"/>
          <w:szCs w:val="24"/>
        </w:rPr>
        <w:t>Similarly</w:t>
      </w:r>
      <w:r w:rsidR="0041340D">
        <w:rPr>
          <w:rFonts w:cs="Times New Roman"/>
          <w:szCs w:val="24"/>
        </w:rPr>
        <w:t>,</w:t>
      </w:r>
      <w:r w:rsidRPr="0066237D">
        <w:rPr>
          <w:rFonts w:cs="Times New Roman"/>
          <w:szCs w:val="24"/>
        </w:rPr>
        <w:t xml:space="preserve"> Frink (2015) continues the dis</w:t>
      </w:r>
      <w:r w:rsidR="00775810" w:rsidRPr="0066237D">
        <w:rPr>
          <w:rFonts w:cs="Times New Roman"/>
          <w:szCs w:val="24"/>
        </w:rPr>
        <w:t xml:space="preserve">cussion of eHealth and patient engagement and the influence of health informatics. </w:t>
      </w:r>
    </w:p>
    <w:tbl>
      <w:tblPr>
        <w:tblStyle w:val="TableGrid"/>
        <w:tblW w:w="99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  <w:gridCol w:w="6431"/>
      </w:tblGrid>
      <w:tr w:rsidR="00D624E5" w14:paraId="65E564E7" w14:textId="77777777" w:rsidTr="0007327B">
        <w:trPr>
          <w:trHeight w:val="3753"/>
        </w:trPr>
        <w:tc>
          <w:tcPr>
            <w:tcW w:w="3550" w:type="dxa"/>
          </w:tcPr>
          <w:p w14:paraId="4561FD62" w14:textId="37A250B5" w:rsidR="00FE4507" w:rsidRDefault="003D77B3" w:rsidP="000A5C3A">
            <w:r w:rsidRPr="0066237D">
              <w:rPr>
                <w:rFonts w:cs="Times New Roman"/>
                <w:szCs w:val="24"/>
              </w:rPr>
              <w:t>As shown in the graphic, patient engagement is mu</w:t>
            </w:r>
            <w:r w:rsidR="00122E60" w:rsidRPr="0066237D">
              <w:rPr>
                <w:rFonts w:cs="Times New Roman"/>
                <w:szCs w:val="24"/>
              </w:rPr>
              <w:t>ltifactorial and without an agreed</w:t>
            </w:r>
            <w:r w:rsidR="00A85935">
              <w:rPr>
                <w:rFonts w:cs="Times New Roman"/>
                <w:szCs w:val="24"/>
              </w:rPr>
              <w:t>-</w:t>
            </w:r>
            <w:r w:rsidR="00122E60" w:rsidRPr="0066237D">
              <w:rPr>
                <w:rFonts w:cs="Times New Roman"/>
                <w:szCs w:val="24"/>
              </w:rPr>
              <w:t>upon definition. Coulter’s definition of patient engagement is often</w:t>
            </w:r>
            <w:r w:rsidR="000A5C3A" w:rsidRPr="0066237D">
              <w:rPr>
                <w:rFonts w:cs="Times New Roman"/>
                <w:szCs w:val="24"/>
              </w:rPr>
              <w:t xml:space="preserve"> cited</w:t>
            </w:r>
            <w:r w:rsidR="00A85935">
              <w:rPr>
                <w:rFonts w:cs="Times New Roman"/>
                <w:szCs w:val="24"/>
              </w:rPr>
              <w:t>. Coulter</w:t>
            </w:r>
            <w:r w:rsidR="000A5C3A" w:rsidRPr="0066237D">
              <w:rPr>
                <w:rFonts w:cs="Times New Roman"/>
                <w:szCs w:val="24"/>
              </w:rPr>
              <w:t xml:space="preserve"> explains</w:t>
            </w:r>
            <w:r w:rsidR="00122E60" w:rsidRPr="0066237D">
              <w:rPr>
                <w:rFonts w:cs="Times New Roman"/>
                <w:szCs w:val="24"/>
              </w:rPr>
              <w:t xml:space="preserve"> that patient engagement should </w:t>
            </w:r>
            <w:r w:rsidR="00DC0E0D" w:rsidRPr="0066237D">
              <w:t>“promote and support active patient and public involvement in health and healthcare and to strengthen their influence on healthcare decisions, at both the indi</w:t>
            </w:r>
            <w:r w:rsidR="00122E60" w:rsidRPr="0066237D">
              <w:t>vidual and collective levels</w:t>
            </w:r>
            <w:r w:rsidR="00DC0E0D" w:rsidRPr="0066237D">
              <w:t>”</w:t>
            </w:r>
            <w:r w:rsidR="00122E60" w:rsidRPr="0066237D">
              <w:t xml:space="preserve"> (2011, p. 10).</w:t>
            </w:r>
            <w:r w:rsidR="00122E60">
              <w:t xml:space="preserve"> </w:t>
            </w:r>
          </w:p>
          <w:p w14:paraId="5B426CBF" w14:textId="77777777" w:rsidR="00775810" w:rsidRPr="00AA3469" w:rsidRDefault="00775810" w:rsidP="000A5C3A">
            <w:pPr>
              <w:rPr>
                <w:rFonts w:cs="Times New Roman"/>
                <w:szCs w:val="24"/>
              </w:rPr>
            </w:pPr>
          </w:p>
        </w:tc>
        <w:tc>
          <w:tcPr>
            <w:tcW w:w="6431" w:type="dxa"/>
          </w:tcPr>
          <w:p w14:paraId="1E52B48E" w14:textId="77777777" w:rsidR="00FE4507" w:rsidRPr="0066237D" w:rsidRDefault="00D624E5" w:rsidP="00AF3AF5">
            <w:pPr>
              <w:rPr>
                <w:rFonts w:cs="Times New Roman"/>
                <w:b/>
                <w:szCs w:val="24"/>
              </w:rPr>
            </w:pPr>
            <w:r w:rsidRPr="0066237D">
              <w:rPr>
                <w:rFonts w:cs="Times New Roman"/>
                <w:noProof/>
                <w:szCs w:val="24"/>
              </w:rPr>
              <w:drawing>
                <wp:inline distT="0" distB="0" distL="0" distR="0" wp14:anchorId="674118A5" wp14:editId="475B65C8">
                  <wp:extent cx="3531870" cy="2208338"/>
                  <wp:effectExtent l="0" t="0" r="0" b="1905"/>
                  <wp:docPr id="3" name="Picture 3" descr="Image result for is patient engagement and communication n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is patient engagement and communication n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6193" cy="2242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5CF066" w14:textId="77777777" w:rsidR="001A6F0E" w:rsidRPr="0066237D" w:rsidRDefault="001A6F0E" w:rsidP="0041340D">
      <w:pPr>
        <w:ind w:firstLine="720"/>
      </w:pPr>
      <w:r w:rsidRPr="0066237D">
        <w:t xml:space="preserve">The HIMSS website provides a number of resources regarding </w:t>
      </w:r>
      <w:hyperlink r:id="rId8" w:history="1">
        <w:r w:rsidRPr="0066237D">
          <w:rPr>
            <w:rStyle w:val="Hyperlink"/>
          </w:rPr>
          <w:t>patient engagement</w:t>
        </w:r>
      </w:hyperlink>
      <w:r w:rsidRPr="0066237D">
        <w:t xml:space="preserve">. </w:t>
      </w:r>
    </w:p>
    <w:p w14:paraId="047F43E9" w14:textId="68FEF1C3" w:rsidR="0007327B" w:rsidRDefault="0007327B" w:rsidP="0041340D">
      <w:pPr>
        <w:ind w:firstLine="720"/>
      </w:pPr>
      <w:r w:rsidRPr="0066237D">
        <w:t>Frink differentiates between empowerment and patient engagement. Frink exemplifies the difference using Brennan and Safran’s definition of patient engagement. Brennan and Safran stated</w:t>
      </w:r>
      <w:r w:rsidR="00A85935">
        <w:t>,</w:t>
      </w:r>
      <w:r w:rsidRPr="0066237D">
        <w:t xml:space="preserve"> “granting power to a dependent group or enhancing an individual’s ability for self-determination (2005, p. 8).</w:t>
      </w:r>
      <w:r>
        <w:t xml:space="preserve">  </w:t>
      </w:r>
    </w:p>
    <w:p w14:paraId="215D06BB" w14:textId="77777777" w:rsidR="00A11AC5" w:rsidRDefault="00A11AC5" w:rsidP="0041340D">
      <w:pPr>
        <w:ind w:firstLine="720"/>
      </w:pPr>
    </w:p>
    <w:p w14:paraId="08D7F98C" w14:textId="178DC705" w:rsidR="009829CF" w:rsidRPr="004A1A45" w:rsidRDefault="00A11AC5" w:rsidP="0041340D">
      <w:pPr>
        <w:ind w:firstLine="720"/>
        <w:rPr>
          <w:rFonts w:cs="Times New Roman"/>
          <w:color w:val="000000" w:themeColor="text1"/>
          <w:szCs w:val="24"/>
        </w:rPr>
      </w:pPr>
      <w:r w:rsidRPr="0066237D">
        <w:rPr>
          <w:rFonts w:cs="Times New Roman"/>
          <w:color w:val="000000" w:themeColor="text1"/>
          <w:szCs w:val="24"/>
        </w:rPr>
        <w:t xml:space="preserve">Frink brings attention </w:t>
      </w:r>
      <w:r w:rsidR="004160D2" w:rsidRPr="0066237D">
        <w:rPr>
          <w:rFonts w:cs="Times New Roman"/>
          <w:color w:val="000000" w:themeColor="text1"/>
          <w:szCs w:val="24"/>
        </w:rPr>
        <w:t xml:space="preserve">to Patient Engagement Core Measure Requirements for Eligible Providers (EPs) </w:t>
      </w:r>
      <w:r w:rsidR="009829CF" w:rsidRPr="0066237D">
        <w:rPr>
          <w:rFonts w:cs="Times New Roman"/>
          <w:color w:val="000000" w:themeColor="text1"/>
          <w:szCs w:val="24"/>
        </w:rPr>
        <w:t xml:space="preserve">in Meaningful Use </w:t>
      </w:r>
      <w:r w:rsidR="004160D2" w:rsidRPr="0066237D">
        <w:rPr>
          <w:rFonts w:cs="Times New Roman"/>
          <w:color w:val="000000" w:themeColor="text1"/>
          <w:szCs w:val="24"/>
        </w:rPr>
        <w:t>Stag</w:t>
      </w:r>
      <w:r w:rsidR="009829CF" w:rsidRPr="0066237D">
        <w:rPr>
          <w:rFonts w:cs="Times New Roman"/>
          <w:color w:val="000000" w:themeColor="text1"/>
          <w:szCs w:val="24"/>
        </w:rPr>
        <w:t>e</w:t>
      </w:r>
      <w:r w:rsidR="004A1A45" w:rsidRPr="0066237D">
        <w:rPr>
          <w:rFonts w:cs="Times New Roman"/>
          <w:color w:val="000000" w:themeColor="text1"/>
          <w:szCs w:val="24"/>
        </w:rPr>
        <w:t xml:space="preserve"> 2</w:t>
      </w:r>
      <w:r w:rsidR="00A85935">
        <w:rPr>
          <w:rFonts w:cs="Times New Roman"/>
          <w:color w:val="000000" w:themeColor="text1"/>
          <w:szCs w:val="24"/>
        </w:rPr>
        <w:t>,</w:t>
      </w:r>
      <w:r w:rsidR="004A1A45" w:rsidRPr="0066237D">
        <w:rPr>
          <w:rFonts w:cs="Times New Roman"/>
          <w:color w:val="000000" w:themeColor="text1"/>
          <w:szCs w:val="24"/>
        </w:rPr>
        <w:t xml:space="preserve"> as explained by CMS (2013). </w:t>
      </w:r>
      <w:r w:rsidR="004A1A45" w:rsidRPr="0066237D">
        <w:rPr>
          <w:rFonts w:cs="Times New Roman"/>
          <w:color w:val="000000" w:themeColor="text1"/>
          <w:szCs w:val="24"/>
          <w:shd w:val="clear" w:color="auto" w:fill="FFFFFF"/>
        </w:rPr>
        <w:t>Patient engagement Stage 2 objectives include:</w:t>
      </w:r>
    </w:p>
    <w:p w14:paraId="608D1985" w14:textId="77777777" w:rsidR="009829CF" w:rsidRPr="0066237D" w:rsidRDefault="009E790E" w:rsidP="0041340D">
      <w:pPr>
        <w:pStyle w:val="ListParagraph"/>
        <w:numPr>
          <w:ilvl w:val="0"/>
          <w:numId w:val="5"/>
        </w:numPr>
        <w:spacing w:after="0" w:line="240" w:lineRule="auto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23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“</w:t>
      </w:r>
      <w:r w:rsidR="009829CF" w:rsidRPr="006623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Providing patients the ability to </w:t>
      </w:r>
      <w:hyperlink r:id="rId9" w:history="1">
        <w:r w:rsidR="009829CF" w:rsidRPr="0066237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view online, download and transmit</w:t>
        </w:r>
      </w:hyperlink>
      <w:r w:rsidR="009829CF" w:rsidRPr="006623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their health information</w:t>
      </w:r>
    </w:p>
    <w:p w14:paraId="2018DCDC" w14:textId="3518C3FD" w:rsidR="004A1A45" w:rsidRPr="0066237D" w:rsidRDefault="004A1A45" w:rsidP="0041340D">
      <w:pPr>
        <w:pStyle w:val="ListParagraph"/>
        <w:numPr>
          <w:ilvl w:val="0"/>
          <w:numId w:val="5"/>
        </w:numPr>
        <w:spacing w:after="0" w:line="240" w:lineRule="auto"/>
        <w:ind w:left="10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23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Using </w:t>
      </w:r>
      <w:hyperlink r:id="rId10" w:history="1">
        <w:r w:rsidRPr="0066237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secure electronic messaging</w:t>
        </w:r>
      </w:hyperlink>
      <w:r w:rsidRPr="006623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to communicate with patients on relevant health information</w:t>
      </w:r>
      <w:r w:rsidR="00A859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9E790E" w:rsidRPr="0066237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”</w:t>
      </w:r>
    </w:p>
    <w:p w14:paraId="74DD99B8" w14:textId="77777777" w:rsidR="008B4C89" w:rsidRDefault="008B4C89" w:rsidP="00681388">
      <w:pPr>
        <w:rPr>
          <w:rFonts w:cs="Times New Roman"/>
          <w:szCs w:val="24"/>
        </w:rPr>
      </w:pPr>
    </w:p>
    <w:p w14:paraId="745F11B7" w14:textId="77777777" w:rsidR="00D53E17" w:rsidRPr="0066237D" w:rsidRDefault="00252A06" w:rsidP="0041340D">
      <w:pPr>
        <w:ind w:firstLine="720"/>
        <w:rPr>
          <w:rFonts w:cs="Times New Roman"/>
          <w:szCs w:val="24"/>
        </w:rPr>
      </w:pPr>
      <w:r w:rsidRPr="0066237D">
        <w:rPr>
          <w:rFonts w:cs="Times New Roman"/>
          <w:szCs w:val="24"/>
        </w:rPr>
        <w:t>It is further</w:t>
      </w:r>
      <w:r w:rsidR="009E790E" w:rsidRPr="0066237D">
        <w:rPr>
          <w:rFonts w:cs="Times New Roman"/>
          <w:szCs w:val="24"/>
        </w:rPr>
        <w:t xml:space="preserve"> explain</w:t>
      </w:r>
      <w:r w:rsidRPr="0066237D">
        <w:rPr>
          <w:rFonts w:cs="Times New Roman"/>
          <w:szCs w:val="24"/>
        </w:rPr>
        <w:t>ed</w:t>
      </w:r>
      <w:r w:rsidR="009E790E" w:rsidRPr="0066237D">
        <w:rPr>
          <w:rFonts w:cs="Times New Roman"/>
          <w:szCs w:val="24"/>
        </w:rPr>
        <w:t xml:space="preserve"> </w:t>
      </w:r>
      <w:r w:rsidR="00885771" w:rsidRPr="0066237D">
        <w:rPr>
          <w:rFonts w:cs="Times New Roman"/>
          <w:szCs w:val="24"/>
        </w:rPr>
        <w:t xml:space="preserve">by CMS </w:t>
      </w:r>
      <w:r w:rsidR="009E790E" w:rsidRPr="0066237D">
        <w:rPr>
          <w:rFonts w:cs="Times New Roman"/>
          <w:szCs w:val="24"/>
        </w:rPr>
        <w:t xml:space="preserve">that in order </w:t>
      </w:r>
      <w:r w:rsidR="008B4C89" w:rsidRPr="0066237D">
        <w:rPr>
          <w:rFonts w:cs="Times New Roman"/>
          <w:szCs w:val="24"/>
        </w:rPr>
        <w:t>to meet Stage 2 of Meaningful Use, Eligible Hospitals must</w:t>
      </w:r>
    </w:p>
    <w:p w14:paraId="7E378CA4" w14:textId="77777777" w:rsidR="008B4C89" w:rsidRPr="0066237D" w:rsidRDefault="00252A06" w:rsidP="0041340D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“</w:t>
      </w:r>
      <w:r w:rsidR="008B4C89" w:rsidRPr="0066237D">
        <w:rPr>
          <w:rFonts w:ascii="Times New Roman" w:hAnsi="Times New Roman" w:cs="Times New Roman"/>
          <w:sz w:val="24"/>
          <w:szCs w:val="24"/>
        </w:rPr>
        <w:t>Provide the patients the ability to view online, download and transmit information about a hospital admission</w:t>
      </w:r>
    </w:p>
    <w:p w14:paraId="341B76D3" w14:textId="12238B18" w:rsidR="008B4C89" w:rsidRPr="0066237D" w:rsidRDefault="008B4C89" w:rsidP="0041340D">
      <w:pPr>
        <w:pStyle w:val="ListParagraph"/>
        <w:numPr>
          <w:ilvl w:val="0"/>
          <w:numId w:val="6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Use clinically relevant information from a Certified EHR Technology to identify patient-specific education resources and provide those resources to the patient</w:t>
      </w:r>
      <w:r w:rsidR="00A85935">
        <w:rPr>
          <w:rFonts w:ascii="Times New Roman" w:hAnsi="Times New Roman" w:cs="Times New Roman"/>
          <w:sz w:val="24"/>
          <w:szCs w:val="24"/>
        </w:rPr>
        <w:t>.</w:t>
      </w:r>
      <w:r w:rsidR="00252A06" w:rsidRPr="0066237D">
        <w:rPr>
          <w:rFonts w:ascii="Times New Roman" w:hAnsi="Times New Roman" w:cs="Times New Roman"/>
          <w:sz w:val="24"/>
          <w:szCs w:val="24"/>
        </w:rPr>
        <w:t xml:space="preserve">” </w:t>
      </w:r>
    </w:p>
    <w:p w14:paraId="1CAA5140" w14:textId="77777777" w:rsidR="00A97601" w:rsidRDefault="00D82EE9" w:rsidP="0041340D">
      <w:pPr>
        <w:ind w:firstLine="720"/>
        <w:rPr>
          <w:rFonts w:cs="Times New Roman"/>
          <w:color w:val="333333"/>
          <w:shd w:val="clear" w:color="auto" w:fill="FFFFFF"/>
        </w:rPr>
      </w:pPr>
      <w:r w:rsidRPr="0066237D">
        <w:rPr>
          <w:rFonts w:cs="Times New Roman"/>
          <w:szCs w:val="24"/>
        </w:rPr>
        <w:t>Impetus</w:t>
      </w:r>
      <w:r w:rsidR="00F6456C" w:rsidRPr="0066237D">
        <w:rPr>
          <w:rFonts w:cs="Times New Roman"/>
          <w:szCs w:val="24"/>
        </w:rPr>
        <w:t xml:space="preserve"> continues for patient engagement through Meaningful Use Stage 3 and </w:t>
      </w:r>
      <w:r w:rsidR="00F6456C" w:rsidRPr="0066237D">
        <w:rPr>
          <w:rFonts w:cs="Times New Roman"/>
          <w:color w:val="333333"/>
          <w:shd w:val="clear" w:color="auto" w:fill="FFFFFF"/>
        </w:rPr>
        <w:t xml:space="preserve">Medicare Access and CHIP Reauthorization Act (MACRA). </w:t>
      </w:r>
      <w:r w:rsidR="00836761" w:rsidRPr="0066237D">
        <w:rPr>
          <w:rFonts w:cs="Times New Roman"/>
          <w:color w:val="333333"/>
          <w:shd w:val="clear" w:color="auto" w:fill="FFFFFF"/>
        </w:rPr>
        <w:t xml:space="preserve">More information can be obtained from </w:t>
      </w:r>
      <w:hyperlink r:id="rId11" w:history="1">
        <w:r w:rsidR="00836761" w:rsidRPr="0066237D">
          <w:rPr>
            <w:rStyle w:val="Hyperlink"/>
            <w:rFonts w:cs="Times New Roman"/>
            <w:shd w:val="clear" w:color="auto" w:fill="FFFFFF"/>
          </w:rPr>
          <w:t>CMS</w:t>
        </w:r>
      </w:hyperlink>
      <w:r w:rsidR="00E25756" w:rsidRPr="0066237D">
        <w:rPr>
          <w:rFonts w:cs="Times New Roman"/>
          <w:color w:val="333333"/>
          <w:shd w:val="clear" w:color="auto" w:fill="FFFFFF"/>
        </w:rPr>
        <w:t xml:space="preserve"> and various publications </w:t>
      </w:r>
      <w:hyperlink r:id="rId12" w:history="1">
        <w:r w:rsidR="00E25756" w:rsidRPr="0066237D">
          <w:rPr>
            <w:rStyle w:val="Hyperlink"/>
            <w:rFonts w:cs="Times New Roman"/>
            <w:shd w:val="clear" w:color="auto" w:fill="FFFFFF"/>
          </w:rPr>
          <w:t>various publications</w:t>
        </w:r>
      </w:hyperlink>
    </w:p>
    <w:p w14:paraId="4CFBBA7F" w14:textId="77777777" w:rsidR="00A97601" w:rsidRDefault="00A97601" w:rsidP="0041340D">
      <w:pPr>
        <w:ind w:firstLine="720"/>
        <w:rPr>
          <w:rFonts w:cs="Times New Roman"/>
          <w:color w:val="333333"/>
          <w:shd w:val="clear" w:color="auto" w:fill="FFFFFF"/>
        </w:rPr>
      </w:pPr>
    </w:p>
    <w:p w14:paraId="702E8774" w14:textId="77777777" w:rsidR="00F6456C" w:rsidRDefault="00A97601" w:rsidP="0041340D">
      <w:pPr>
        <w:ind w:firstLine="720"/>
        <w:rPr>
          <w:rFonts w:cs="Times New Roman"/>
          <w:color w:val="333333"/>
          <w:shd w:val="clear" w:color="auto" w:fill="FFFFFF"/>
        </w:rPr>
      </w:pPr>
      <w:r w:rsidRPr="0066237D">
        <w:rPr>
          <w:rFonts w:cs="Times New Roman"/>
          <w:color w:val="333333"/>
          <w:shd w:val="clear" w:color="auto" w:fill="FFFFFF"/>
        </w:rPr>
        <w:lastRenderedPageBreak/>
        <w:t xml:space="preserve">Frink concludes the chapter by stating, “there is much to be done in clarifying the interactions between consumer/patient engagement, the use of eHealth resources, and outcomes of care. There is ample opportunity to </w:t>
      </w:r>
    </w:p>
    <w:p w14:paraId="440F6DDE" w14:textId="77777777" w:rsidR="00A97601" w:rsidRPr="0066237D" w:rsidRDefault="00A97601" w:rsidP="0041340D">
      <w:pPr>
        <w:pStyle w:val="ListParagraph"/>
        <w:numPr>
          <w:ilvl w:val="0"/>
          <w:numId w:val="7"/>
        </w:numPr>
        <w:ind w:left="108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6237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Participate in consumer provider groups to establish criteria for effective e-communication</w:t>
      </w:r>
    </w:p>
    <w:p w14:paraId="1EF6B9E3" w14:textId="77777777" w:rsidR="00A97601" w:rsidRPr="0066237D" w:rsidRDefault="00A97601" w:rsidP="0041340D">
      <w:pPr>
        <w:pStyle w:val="ListParagraph"/>
        <w:numPr>
          <w:ilvl w:val="0"/>
          <w:numId w:val="7"/>
        </w:numPr>
        <w:ind w:left="108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6237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Explore the possibilities of providing more effective interactive education content for patient portals</w:t>
      </w:r>
    </w:p>
    <w:p w14:paraId="7A4603F1" w14:textId="77777777" w:rsidR="00A97601" w:rsidRPr="0066237D" w:rsidRDefault="00A97601" w:rsidP="0041340D">
      <w:pPr>
        <w:pStyle w:val="ListParagraph"/>
        <w:numPr>
          <w:ilvl w:val="0"/>
          <w:numId w:val="7"/>
        </w:numPr>
        <w:ind w:left="108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6237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Partner with consumers in developing governance structures for managing patient and consumer access to institutional eHealth resources</w:t>
      </w:r>
    </w:p>
    <w:p w14:paraId="6B122384" w14:textId="77777777" w:rsidR="00A97601" w:rsidRPr="00A97601" w:rsidRDefault="00A97601" w:rsidP="0041340D">
      <w:pPr>
        <w:pStyle w:val="ListParagraph"/>
        <w:numPr>
          <w:ilvl w:val="0"/>
          <w:numId w:val="7"/>
        </w:numPr>
        <w:ind w:left="108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6237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Establish methods for measuring and evaluating consumer, patient and family, and providers’ satisfaction with the developing process” (Frink, 2015, p. 507).</w:t>
      </w:r>
      <w:r w:rsidRPr="00A976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31E97F9B" w14:textId="77777777" w:rsidR="00EE255B" w:rsidRPr="0066237D" w:rsidRDefault="00A0139F" w:rsidP="00681388">
      <w:pPr>
        <w:rPr>
          <w:rFonts w:cs="Times New Roman"/>
          <w:b/>
          <w:szCs w:val="24"/>
        </w:rPr>
      </w:pPr>
      <w:r w:rsidRPr="0066237D">
        <w:rPr>
          <w:rFonts w:cs="Times New Roman"/>
          <w:b/>
          <w:szCs w:val="24"/>
        </w:rPr>
        <w:t>Learning Objective</w:t>
      </w:r>
      <w:r w:rsidR="004E61CB" w:rsidRPr="0066237D">
        <w:rPr>
          <w:rFonts w:cs="Times New Roman"/>
          <w:b/>
          <w:szCs w:val="24"/>
        </w:rPr>
        <w:t>s</w:t>
      </w:r>
    </w:p>
    <w:p w14:paraId="65D13280" w14:textId="77777777" w:rsidR="00B53E49" w:rsidRPr="0066237D" w:rsidRDefault="004431C4" w:rsidP="0041340D">
      <w:pPr>
        <w:pStyle w:val="ListParagraph"/>
        <w:numPr>
          <w:ilvl w:val="0"/>
          <w:numId w:val="1"/>
        </w:numPr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 xml:space="preserve">Define concepts of e-Health, telehealth, and m-Health </w:t>
      </w:r>
    </w:p>
    <w:p w14:paraId="258B467F" w14:textId="77777777" w:rsidR="00681388" w:rsidRPr="0066237D" w:rsidRDefault="00681388" w:rsidP="0041340D">
      <w:pPr>
        <w:pStyle w:val="ListParagraph"/>
        <w:numPr>
          <w:ilvl w:val="0"/>
          <w:numId w:val="1"/>
        </w:numPr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Explore applications of e-Health for healthcare, education, and research</w:t>
      </w:r>
    </w:p>
    <w:p w14:paraId="6B1C427D" w14:textId="77777777" w:rsidR="00681388" w:rsidRPr="0066237D" w:rsidRDefault="00681388" w:rsidP="0041340D">
      <w:pPr>
        <w:pStyle w:val="ListParagraph"/>
        <w:numPr>
          <w:ilvl w:val="0"/>
          <w:numId w:val="1"/>
        </w:numPr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 xml:space="preserve">Examine evidence on the impact of e-Health in health promotion and health </w:t>
      </w:r>
    </w:p>
    <w:p w14:paraId="362F92C6" w14:textId="77777777" w:rsidR="00681388" w:rsidRPr="0066237D" w:rsidRDefault="00681388" w:rsidP="0041340D">
      <w:pPr>
        <w:pStyle w:val="ListParagraph"/>
        <w:numPr>
          <w:ilvl w:val="0"/>
          <w:numId w:val="1"/>
        </w:numPr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Analyze the transformational nature of e-health with the healthcare industry</w:t>
      </w:r>
    </w:p>
    <w:p w14:paraId="5A1E75FE" w14:textId="77777777" w:rsidR="00681388" w:rsidRPr="0066237D" w:rsidRDefault="00681388" w:rsidP="0041340D">
      <w:pPr>
        <w:pStyle w:val="ListParagraph"/>
        <w:numPr>
          <w:ilvl w:val="0"/>
          <w:numId w:val="1"/>
        </w:numPr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Discuss a telemedicine case study</w:t>
      </w:r>
    </w:p>
    <w:p w14:paraId="5DA176BA" w14:textId="789BC473" w:rsidR="003B4E40" w:rsidRPr="0066237D" w:rsidRDefault="003B4E40" w:rsidP="0041340D">
      <w:pPr>
        <w:pStyle w:val="ListParagraph"/>
        <w:numPr>
          <w:ilvl w:val="0"/>
          <w:numId w:val="1"/>
        </w:numPr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 xml:space="preserve">Describe the concept of patient engagement from </w:t>
      </w:r>
      <w:r w:rsidR="00A85935">
        <w:rPr>
          <w:rFonts w:ascii="Times New Roman" w:hAnsi="Times New Roman" w:cs="Times New Roman"/>
          <w:sz w:val="24"/>
          <w:szCs w:val="24"/>
        </w:rPr>
        <w:t xml:space="preserve">the </w:t>
      </w:r>
      <w:r w:rsidRPr="0066237D">
        <w:rPr>
          <w:rFonts w:ascii="Times New Roman" w:hAnsi="Times New Roman" w:cs="Times New Roman"/>
          <w:sz w:val="24"/>
          <w:szCs w:val="24"/>
        </w:rPr>
        <w:t>patient, health system, and provider perspective</w:t>
      </w:r>
    </w:p>
    <w:p w14:paraId="1654952A" w14:textId="77777777" w:rsidR="003B4E40" w:rsidRPr="0066237D" w:rsidRDefault="003B4E40" w:rsidP="0041340D">
      <w:pPr>
        <w:pStyle w:val="ListParagraph"/>
        <w:numPr>
          <w:ilvl w:val="0"/>
          <w:numId w:val="1"/>
        </w:numPr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Discuss several influences of health policy, specifically the HITECH Act and the American Recovery and Reinvestment Act of 2011, on the development of patient engagement strategies within an EHR framework</w:t>
      </w:r>
    </w:p>
    <w:p w14:paraId="45EB2CB2" w14:textId="77777777" w:rsidR="003B4E40" w:rsidRPr="0066237D" w:rsidRDefault="003B4E40" w:rsidP="0041340D">
      <w:pPr>
        <w:pStyle w:val="ListParagraph"/>
        <w:numPr>
          <w:ilvl w:val="0"/>
          <w:numId w:val="1"/>
        </w:numPr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Describe three characteristics of a learning healthcare organization, and the potential role of patient engagement</w:t>
      </w:r>
    </w:p>
    <w:p w14:paraId="6A1E8A98" w14:textId="77777777" w:rsidR="003B4E40" w:rsidRPr="0066237D" w:rsidRDefault="003B4E40" w:rsidP="0041340D">
      <w:pPr>
        <w:pStyle w:val="ListParagraph"/>
        <w:numPr>
          <w:ilvl w:val="0"/>
          <w:numId w:val="1"/>
        </w:numPr>
        <w:spacing w:after="0"/>
        <w:ind w:left="1080"/>
        <w:rPr>
          <w:rFonts w:ascii="Times New Roman" w:hAnsi="Times New Roman" w:cs="Times New Roman"/>
          <w:sz w:val="24"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 xml:space="preserve">List the primary components and functions of patient portals, and how they differ from other eHealth resources </w:t>
      </w:r>
    </w:p>
    <w:p w14:paraId="30B7D292" w14:textId="77777777" w:rsidR="00AF3AF5" w:rsidRPr="0066237D" w:rsidRDefault="00672817" w:rsidP="00AF3AF5">
      <w:pPr>
        <w:spacing w:line="276" w:lineRule="auto"/>
        <w:rPr>
          <w:rFonts w:cs="Times New Roman"/>
          <w:b/>
          <w:szCs w:val="24"/>
        </w:rPr>
      </w:pPr>
      <w:r w:rsidRPr="0066237D">
        <w:rPr>
          <w:rFonts w:cs="Times New Roman"/>
          <w:b/>
          <w:szCs w:val="24"/>
        </w:rPr>
        <w:t>A</w:t>
      </w:r>
      <w:r w:rsidR="00EE255B" w:rsidRPr="0066237D">
        <w:rPr>
          <w:rFonts w:cs="Times New Roman"/>
          <w:b/>
          <w:szCs w:val="24"/>
        </w:rPr>
        <w:t xml:space="preserve">ctivities </w:t>
      </w:r>
    </w:p>
    <w:p w14:paraId="1715ED5A" w14:textId="77777777" w:rsidR="007A1146" w:rsidRPr="0066237D" w:rsidRDefault="007A1146" w:rsidP="00AF3AF5">
      <w:pPr>
        <w:spacing w:line="276" w:lineRule="auto"/>
        <w:rPr>
          <w:rFonts w:cs="Times New Roman"/>
          <w:b/>
          <w:szCs w:val="24"/>
        </w:rPr>
      </w:pPr>
      <w:r w:rsidRPr="0066237D">
        <w:rPr>
          <w:rFonts w:cs="Times New Roman"/>
          <w:b/>
          <w:szCs w:val="24"/>
        </w:rPr>
        <w:t>Read and review</w:t>
      </w:r>
    </w:p>
    <w:p w14:paraId="3F3F6605" w14:textId="75EBB062" w:rsidR="00002A6C" w:rsidRDefault="006834C2" w:rsidP="006834C2">
      <w:pPr>
        <w:spacing w:line="480" w:lineRule="auto"/>
        <w:ind w:left="720" w:hanging="720"/>
      </w:pPr>
      <w:r w:rsidRPr="0066237D">
        <w:t>Barton, A. J</w:t>
      </w:r>
      <w:r w:rsidR="0042364D" w:rsidRPr="0066237D">
        <w:t>.</w:t>
      </w:r>
      <w:r w:rsidR="00C826BF" w:rsidRPr="0066237D">
        <w:t xml:space="preserve"> </w:t>
      </w:r>
      <w:r w:rsidRPr="0066237D">
        <w:t xml:space="preserve">(2015). </w:t>
      </w:r>
      <w:r w:rsidRPr="0066237D">
        <w:rPr>
          <w:szCs w:val="20"/>
        </w:rPr>
        <w:t>Chapter 22 Informatics and the healthcare industry</w:t>
      </w:r>
      <w:r w:rsidR="00002A6C" w:rsidRPr="0066237D">
        <w:t>. I</w:t>
      </w:r>
      <w:r w:rsidR="00C64520" w:rsidRPr="0066237D">
        <w:t xml:space="preserve">n V. Saba &amp; K. McCormick (Eds.), </w:t>
      </w:r>
      <w:r w:rsidR="00002A6C" w:rsidRPr="0066237D">
        <w:rPr>
          <w:i/>
        </w:rPr>
        <w:t>The essentials of nursing informatics</w:t>
      </w:r>
      <w:r w:rsidR="004B2594" w:rsidRPr="0066237D">
        <w:t xml:space="preserve"> (6th ed., pp. 333</w:t>
      </w:r>
      <w:r w:rsidR="00FE1FDF" w:rsidRPr="0066237D">
        <w:t>-</w:t>
      </w:r>
      <w:r w:rsidR="004B2594" w:rsidRPr="0066237D">
        <w:t>343</w:t>
      </w:r>
      <w:r w:rsidR="00002A6C" w:rsidRPr="0066237D">
        <w:t>). McGraw-Hill.</w:t>
      </w:r>
      <w:r w:rsidR="00002A6C">
        <w:t xml:space="preserve">  </w:t>
      </w:r>
    </w:p>
    <w:p w14:paraId="7E399CDD" w14:textId="241C8A20" w:rsidR="0042364D" w:rsidRDefault="007A3B2B" w:rsidP="0042364D">
      <w:pPr>
        <w:tabs>
          <w:tab w:val="left" w:pos="-1080"/>
          <w:tab w:val="left" w:pos="-720"/>
          <w:tab w:val="left" w:pos="90"/>
        </w:tabs>
        <w:spacing w:line="480" w:lineRule="auto"/>
        <w:ind w:left="720" w:hanging="720"/>
      </w:pPr>
      <w:r w:rsidRPr="0066237D">
        <w:t>Frink, B. B.</w:t>
      </w:r>
      <w:r w:rsidR="00A216A0" w:rsidRPr="0066237D">
        <w:t xml:space="preserve"> </w:t>
      </w:r>
      <w:r w:rsidR="0042364D" w:rsidRPr="0066237D">
        <w:t>(</w:t>
      </w:r>
      <w:r w:rsidR="00294B39" w:rsidRPr="0066237D">
        <w:t>2015).</w:t>
      </w:r>
      <w:r w:rsidR="004B2594" w:rsidRPr="0066237D">
        <w:rPr>
          <w:szCs w:val="20"/>
        </w:rPr>
        <w:t xml:space="preserve"> Chapter 35 Consumer/patient engagement and eHealth resources</w:t>
      </w:r>
      <w:r w:rsidR="0042364D" w:rsidRPr="0066237D">
        <w:t>. I</w:t>
      </w:r>
      <w:r w:rsidR="00C64520" w:rsidRPr="0066237D">
        <w:t>n</w:t>
      </w:r>
      <w:r w:rsidR="004067FD" w:rsidRPr="0066237D">
        <w:t xml:space="preserve"> V. Saba &amp; K. McCormick (Eds.), </w:t>
      </w:r>
      <w:r w:rsidR="004067FD" w:rsidRPr="0066237D">
        <w:rPr>
          <w:i/>
        </w:rPr>
        <w:t>T</w:t>
      </w:r>
      <w:r w:rsidR="0042364D" w:rsidRPr="0066237D">
        <w:rPr>
          <w:i/>
        </w:rPr>
        <w:t>he essentials of nursing informatics</w:t>
      </w:r>
      <w:r w:rsidR="00947862" w:rsidRPr="0066237D">
        <w:t xml:space="preserve"> (6th ed., pp. 499-509</w:t>
      </w:r>
      <w:r w:rsidR="0042364D" w:rsidRPr="0066237D">
        <w:t>). McGraw-Hill.</w:t>
      </w:r>
      <w:r w:rsidR="0042364D">
        <w:t xml:space="preserve">  </w:t>
      </w:r>
    </w:p>
    <w:p w14:paraId="0343BC54" w14:textId="6DD6FBA9" w:rsidR="00123E09" w:rsidRDefault="00123E09" w:rsidP="0042364D">
      <w:pPr>
        <w:tabs>
          <w:tab w:val="left" w:pos="-1080"/>
          <w:tab w:val="left" w:pos="-720"/>
          <w:tab w:val="left" w:pos="90"/>
        </w:tabs>
        <w:spacing w:line="480" w:lineRule="auto"/>
        <w:ind w:left="720" w:hanging="720"/>
      </w:pPr>
      <w:r w:rsidRPr="0066237D">
        <w:lastRenderedPageBreak/>
        <w:t xml:space="preserve">Office of the National Coordinator (ONC). (2017). Patient engagement playbook. </w:t>
      </w:r>
      <w:hyperlink r:id="rId13" w:history="1">
        <w:r w:rsidR="00B70938" w:rsidRPr="0066237D">
          <w:rPr>
            <w:rStyle w:val="Hyperlink"/>
          </w:rPr>
          <w:t>https://www.healthit.gov/playbook/pe/guide/</w:t>
        </w:r>
      </w:hyperlink>
    </w:p>
    <w:p w14:paraId="589CA7AC" w14:textId="5CB7C6F8" w:rsidR="009E585D" w:rsidRDefault="009E585D" w:rsidP="009E585D">
      <w:pPr>
        <w:tabs>
          <w:tab w:val="left" w:pos="270"/>
          <w:tab w:val="left" w:pos="2592"/>
        </w:tabs>
        <w:spacing w:line="480" w:lineRule="auto"/>
        <w:ind w:left="720" w:hanging="720"/>
      </w:pPr>
      <w:r w:rsidRPr="0066237D">
        <w:t xml:space="preserve">Brennan, P. F., &amp; Safran, C. </w:t>
      </w:r>
      <w:r w:rsidR="00A85935">
        <w:t>(</w:t>
      </w:r>
      <w:r w:rsidRPr="0066237D">
        <w:t>2005</w:t>
      </w:r>
      <w:r w:rsidR="00A85935">
        <w:t>)</w:t>
      </w:r>
      <w:r w:rsidRPr="0066237D">
        <w:t xml:space="preserve">. Empower-consumers. In D. Lewis, W. V. Slack, G. </w:t>
      </w:r>
      <w:proofErr w:type="spellStart"/>
      <w:r w:rsidRPr="0066237D">
        <w:t>Eysenbach</w:t>
      </w:r>
      <w:proofErr w:type="spellEnd"/>
      <w:r w:rsidRPr="0066237D">
        <w:t xml:space="preserve">, R. </w:t>
      </w:r>
      <w:proofErr w:type="spellStart"/>
      <w:r w:rsidRPr="0066237D">
        <w:t>Kukafka</w:t>
      </w:r>
      <w:proofErr w:type="spellEnd"/>
      <w:r w:rsidRPr="0066237D">
        <w:t xml:space="preserve">, P. Z. </w:t>
      </w:r>
      <w:proofErr w:type="spellStart"/>
      <w:r w:rsidRPr="0066237D">
        <w:t>Starvi</w:t>
      </w:r>
      <w:proofErr w:type="spellEnd"/>
      <w:r w:rsidRPr="0066237D">
        <w:t xml:space="preserve">, &amp; H. </w:t>
      </w:r>
      <w:proofErr w:type="spellStart"/>
      <w:r w:rsidRPr="0066237D">
        <w:t>Jimison</w:t>
      </w:r>
      <w:proofErr w:type="spellEnd"/>
      <w:r w:rsidRPr="0066237D">
        <w:t xml:space="preserve"> (Eds.), </w:t>
      </w:r>
      <w:r w:rsidRPr="0066237D">
        <w:rPr>
          <w:i/>
        </w:rPr>
        <w:t>Consumer health informatics: Informing consumers and improving health care</w:t>
      </w:r>
      <w:r w:rsidRPr="0066237D">
        <w:t xml:space="preserve"> (pp. 8-21). Spring Science + Business Media.</w:t>
      </w:r>
      <w:r w:rsidR="0041340D">
        <w:t xml:space="preserve"> </w:t>
      </w:r>
      <w:r w:rsidRPr="0066237D">
        <w:t>http://eknygos.lsmuni.lt/springer/98/8-21.pdf</w:t>
      </w:r>
    </w:p>
    <w:p w14:paraId="0CD9646E" w14:textId="77777777" w:rsidR="008356EA" w:rsidRPr="0066237D" w:rsidRDefault="009663FF" w:rsidP="00721480">
      <w:pPr>
        <w:tabs>
          <w:tab w:val="left" w:pos="2157"/>
          <w:tab w:val="left" w:pos="2592"/>
        </w:tabs>
        <w:rPr>
          <w:rFonts w:cs="Times New Roman"/>
          <w:b/>
          <w:szCs w:val="24"/>
        </w:rPr>
      </w:pPr>
      <w:r w:rsidRPr="0066237D">
        <w:rPr>
          <w:rFonts w:cs="Times New Roman"/>
          <w:b/>
          <w:szCs w:val="24"/>
        </w:rPr>
        <w:t>Individual Activity</w:t>
      </w:r>
    </w:p>
    <w:p w14:paraId="7C9101B5" w14:textId="38BD7AC6" w:rsidR="0095611C" w:rsidRPr="0041340D" w:rsidRDefault="00F715F7" w:rsidP="00FF6DE9">
      <w:pPr>
        <w:ind w:left="270"/>
        <w:rPr>
          <w:rFonts w:cs="Times New Roman"/>
          <w:b/>
          <w:color w:val="FF0000"/>
          <w:szCs w:val="24"/>
        </w:rPr>
      </w:pPr>
      <w:r w:rsidRPr="0066237D">
        <w:rPr>
          <w:rFonts w:cs="Times New Roman"/>
          <w:szCs w:val="24"/>
        </w:rPr>
        <w:t>Interview a consumer (</w:t>
      </w:r>
      <w:r w:rsidRPr="0066237D">
        <w:rPr>
          <w:rFonts w:cs="Times New Roman"/>
          <w:b/>
          <w:color w:val="FF0000"/>
          <w:szCs w:val="24"/>
        </w:rPr>
        <w:t>DO NOT</w:t>
      </w:r>
      <w:r w:rsidRPr="0066237D">
        <w:rPr>
          <w:rFonts w:cs="Times New Roman"/>
          <w:color w:val="FF0000"/>
          <w:szCs w:val="24"/>
        </w:rPr>
        <w:t xml:space="preserve"> </w:t>
      </w:r>
      <w:r w:rsidRPr="0066237D">
        <w:rPr>
          <w:rFonts w:cs="Times New Roman"/>
          <w:szCs w:val="24"/>
        </w:rPr>
        <w:t xml:space="preserve">interview a health care professional) regarding their perception of patient engagement </w:t>
      </w:r>
      <w:proofErr w:type="gramStart"/>
      <w:r w:rsidRPr="0066237D">
        <w:rPr>
          <w:rFonts w:cs="Times New Roman"/>
          <w:szCs w:val="24"/>
        </w:rPr>
        <w:t>through the use of</w:t>
      </w:r>
      <w:proofErr w:type="gramEnd"/>
      <w:r w:rsidRPr="0066237D">
        <w:rPr>
          <w:rFonts w:cs="Times New Roman"/>
          <w:szCs w:val="24"/>
        </w:rPr>
        <w:t xml:space="preserve"> a patient portal</w:t>
      </w:r>
      <w:r w:rsidR="006D7E3D" w:rsidRPr="0066237D">
        <w:rPr>
          <w:rFonts w:cs="Times New Roman"/>
          <w:szCs w:val="24"/>
        </w:rPr>
        <w:t xml:space="preserve">. </w:t>
      </w:r>
      <w:r w:rsidR="0095611C" w:rsidRPr="0095611C">
        <w:rPr>
          <w:rFonts w:cs="Times New Roman"/>
          <w:b/>
          <w:color w:val="FF0000"/>
          <w:szCs w:val="24"/>
        </w:rPr>
        <w:t xml:space="preserve">You must select </w:t>
      </w:r>
      <w:r w:rsidR="0095611C" w:rsidRPr="0041340D">
        <w:rPr>
          <w:rFonts w:cs="Times New Roman"/>
          <w:b/>
          <w:color w:val="FF0000"/>
          <w:szCs w:val="24"/>
        </w:rPr>
        <w:t xml:space="preserve">someone that uses a patient portal. It is not acceptable to interview someone that does not use a patient portal. </w:t>
      </w:r>
    </w:p>
    <w:p w14:paraId="63971136" w14:textId="77777777" w:rsidR="00AE3C2B" w:rsidRPr="00FF6DE9" w:rsidRDefault="00AE3C2B" w:rsidP="00FF6DE9">
      <w:pPr>
        <w:ind w:left="270"/>
        <w:rPr>
          <w:rFonts w:cs="Times New Roman"/>
          <w:b/>
          <w:color w:val="FF0000"/>
          <w:szCs w:val="24"/>
        </w:rPr>
      </w:pPr>
    </w:p>
    <w:p w14:paraId="29710DBA" w14:textId="5961CEFE" w:rsidR="002F2156" w:rsidRPr="00FC1CBD" w:rsidRDefault="00F715F7" w:rsidP="00A85935">
      <w:pPr>
        <w:pStyle w:val="ListParagraph"/>
        <w:numPr>
          <w:ilvl w:val="0"/>
          <w:numId w:val="8"/>
        </w:numPr>
        <w:ind w:left="360"/>
        <w:rPr>
          <w:rFonts w:cs="Times New Roman"/>
          <w:b/>
          <w:bCs/>
          <w:szCs w:val="24"/>
        </w:rPr>
      </w:pPr>
      <w:r w:rsidRPr="0066237D">
        <w:rPr>
          <w:rFonts w:ascii="Times New Roman" w:hAnsi="Times New Roman" w:cs="Times New Roman"/>
          <w:sz w:val="24"/>
          <w:szCs w:val="24"/>
        </w:rPr>
        <w:t>Use th</w:t>
      </w:r>
      <w:r w:rsidR="0095611C">
        <w:rPr>
          <w:rFonts w:ascii="Times New Roman" w:hAnsi="Times New Roman" w:cs="Times New Roman"/>
          <w:sz w:val="24"/>
          <w:szCs w:val="24"/>
        </w:rPr>
        <w:t>e interview questions</w:t>
      </w:r>
      <w:r w:rsidR="00A85935">
        <w:rPr>
          <w:rFonts w:ascii="Times New Roman" w:hAnsi="Times New Roman" w:cs="Times New Roman"/>
          <w:sz w:val="24"/>
          <w:szCs w:val="24"/>
        </w:rPr>
        <w:t xml:space="preserve"> provided in the template. The template is provided must be submitted. </w:t>
      </w:r>
      <w:r w:rsidR="0095611C" w:rsidRPr="00C52CE1">
        <w:rPr>
          <w:rFonts w:ascii="Times New Roman" w:hAnsi="Times New Roman" w:cs="Times New Roman"/>
          <w:b/>
          <w:color w:val="FF0000"/>
          <w:sz w:val="24"/>
          <w:szCs w:val="24"/>
        </w:rPr>
        <w:t>You must select someone that uses a patient portal. It is not acceptable to use someone that does not use a patient portal. You ma</w:t>
      </w:r>
      <w:r w:rsidR="004B7F55">
        <w:rPr>
          <w:rFonts w:ascii="Times New Roman" w:hAnsi="Times New Roman" w:cs="Times New Roman"/>
          <w:b/>
          <w:color w:val="FF0000"/>
          <w:sz w:val="24"/>
          <w:szCs w:val="24"/>
        </w:rPr>
        <w:t>y</w:t>
      </w:r>
      <w:r w:rsidR="0095611C" w:rsidRPr="00C52CE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need to ask several people to identify someone that uses a portal.</w:t>
      </w:r>
      <w:r w:rsidR="0095611C" w:rsidRPr="00C52C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57F61" w:rsidRPr="00A57F61">
        <w:rPr>
          <w:rFonts w:ascii="Times New Roman" w:hAnsi="Times New Roman" w:cs="Times New Roman"/>
          <w:b/>
          <w:bCs/>
          <w:color w:val="FF0000"/>
          <w:sz w:val="24"/>
          <w:szCs w:val="24"/>
        </w:rPr>
        <w:t>You are encouraged to ask clarifying questions to learn more about the patient’s use of the portal</w:t>
      </w:r>
      <w:r w:rsidR="00A57F61" w:rsidRPr="00977E19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977E19" w:rsidRPr="00977E19">
        <w:rPr>
          <w:rFonts w:ascii="Times New Roman" w:hAnsi="Times New Roman" w:cs="Times New Roman"/>
          <w:b/>
          <w:bCs/>
          <w:color w:val="FF0000"/>
          <w:sz w:val="24"/>
          <w:szCs w:val="24"/>
        </w:rPr>
        <w:t>Comments must be completed.</w:t>
      </w:r>
    </w:p>
    <w:p w14:paraId="68DD6663" w14:textId="4A29DB3A" w:rsidR="00FC1CBD" w:rsidRPr="00977E19" w:rsidRDefault="00FC1CBD" w:rsidP="00A85935">
      <w:pPr>
        <w:pStyle w:val="ListParagraph"/>
        <w:numPr>
          <w:ilvl w:val="0"/>
          <w:numId w:val="8"/>
        </w:numPr>
        <w:ind w:left="360"/>
        <w:rPr>
          <w:rFonts w:cs="Times New Roman"/>
          <w:b/>
          <w:bCs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the template provided in Canvas</w:t>
      </w:r>
    </w:p>
    <w:p w14:paraId="0F63613B" w14:textId="1B7F4D42" w:rsidR="00A85935" w:rsidRPr="00A85935" w:rsidRDefault="00A85935" w:rsidP="00A85935">
      <w:pPr>
        <w:pStyle w:val="ListParagraph"/>
        <w:numPr>
          <w:ilvl w:val="0"/>
          <w:numId w:val="8"/>
        </w:numPr>
        <w:ind w:left="360"/>
        <w:rPr>
          <w:rFonts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 are required</w:t>
      </w:r>
      <w:r w:rsidR="00623AFF">
        <w:rPr>
          <w:rFonts w:ascii="Times New Roman" w:hAnsi="Times New Roman" w:cs="Times New Roman"/>
          <w:sz w:val="24"/>
          <w:szCs w:val="24"/>
        </w:rPr>
        <w:t xml:space="preserve"> both in the text and reference list</w:t>
      </w:r>
    </w:p>
    <w:p w14:paraId="639B176D" w14:textId="672656E8" w:rsidR="00A85935" w:rsidRPr="00A85935" w:rsidRDefault="00A85935" w:rsidP="00A85935">
      <w:pPr>
        <w:pStyle w:val="ListParagraph"/>
        <w:numPr>
          <w:ilvl w:val="0"/>
          <w:numId w:val="8"/>
        </w:numPr>
        <w:ind w:left="360"/>
        <w:rPr>
          <w:rFonts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headings to organize the content.</w:t>
      </w:r>
    </w:p>
    <w:p w14:paraId="44E0F8AB" w14:textId="0AECB204" w:rsidR="00A85935" w:rsidRPr="00A85935" w:rsidRDefault="00A85935" w:rsidP="00A85935">
      <w:pPr>
        <w:pStyle w:val="ListParagraph"/>
        <w:numPr>
          <w:ilvl w:val="0"/>
          <w:numId w:val="8"/>
        </w:numPr>
        <w:ind w:left="360"/>
        <w:rPr>
          <w:rFonts w:cs="Times New Roman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Label figures following APA style</w:t>
      </w:r>
    </w:p>
    <w:p w14:paraId="05D6AEDE" w14:textId="77777777" w:rsidR="00A85935" w:rsidRPr="002F2156" w:rsidRDefault="00A85935" w:rsidP="00A85935">
      <w:pPr>
        <w:pStyle w:val="ListParagraph"/>
        <w:ind w:left="540"/>
        <w:rPr>
          <w:rFonts w:cs="Times New Roman"/>
          <w:szCs w:val="24"/>
        </w:rPr>
      </w:pPr>
    </w:p>
    <w:p w14:paraId="6B71F187" w14:textId="77777777" w:rsidR="008356EA" w:rsidRPr="00294B39" w:rsidRDefault="008356EA" w:rsidP="008356EA">
      <w:pPr>
        <w:rPr>
          <w:rFonts w:cs="Times New Roman"/>
          <w:b/>
          <w:szCs w:val="24"/>
        </w:rPr>
      </w:pPr>
      <w:r w:rsidRPr="00294B39">
        <w:rPr>
          <w:rFonts w:cs="Times New Roman"/>
          <w:b/>
          <w:szCs w:val="24"/>
        </w:rPr>
        <w:t xml:space="preserve">Grading Rubric 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760"/>
        <w:gridCol w:w="1260"/>
        <w:gridCol w:w="1080"/>
        <w:gridCol w:w="1368"/>
      </w:tblGrid>
      <w:tr w:rsidR="008356EA" w14:paraId="24A16E9B" w14:textId="77777777" w:rsidTr="002235B6">
        <w:tc>
          <w:tcPr>
            <w:tcW w:w="5760" w:type="dxa"/>
          </w:tcPr>
          <w:p w14:paraId="0D4BBB83" w14:textId="77777777" w:rsidR="008356EA" w:rsidRPr="00294B39" w:rsidRDefault="008356EA" w:rsidP="002235B6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B39">
              <w:rPr>
                <w:rFonts w:ascii="Times New Roman" w:hAnsi="Times New Roman" w:cs="Times New Roman"/>
                <w:b/>
                <w:sz w:val="24"/>
                <w:szCs w:val="24"/>
              </w:rPr>
              <w:t>Activity</w:t>
            </w:r>
          </w:p>
        </w:tc>
        <w:tc>
          <w:tcPr>
            <w:tcW w:w="1260" w:type="dxa"/>
          </w:tcPr>
          <w:p w14:paraId="2D65409F" w14:textId="77777777" w:rsidR="008356EA" w:rsidRPr="00294B39" w:rsidRDefault="008356EA" w:rsidP="002235B6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B39">
              <w:rPr>
                <w:rFonts w:ascii="Times New Roman" w:hAnsi="Times New Roman" w:cs="Times New Roman"/>
                <w:b/>
                <w:sz w:val="24"/>
                <w:szCs w:val="24"/>
              </w:rPr>
              <w:t>Points Possible</w:t>
            </w:r>
          </w:p>
        </w:tc>
        <w:tc>
          <w:tcPr>
            <w:tcW w:w="1080" w:type="dxa"/>
          </w:tcPr>
          <w:p w14:paraId="206CD7CD" w14:textId="77777777" w:rsidR="008356EA" w:rsidRPr="00294B39" w:rsidRDefault="008356EA" w:rsidP="002235B6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B39">
              <w:rPr>
                <w:rFonts w:ascii="Times New Roman" w:hAnsi="Times New Roman" w:cs="Times New Roman"/>
                <w:b/>
                <w:sz w:val="24"/>
                <w:szCs w:val="24"/>
              </w:rPr>
              <w:t>Points Earned</w:t>
            </w:r>
          </w:p>
        </w:tc>
        <w:tc>
          <w:tcPr>
            <w:tcW w:w="1368" w:type="dxa"/>
          </w:tcPr>
          <w:p w14:paraId="0A9F8441" w14:textId="77777777" w:rsidR="008356EA" w:rsidRPr="00294B39" w:rsidRDefault="008356EA" w:rsidP="002235B6">
            <w:pPr>
              <w:pStyle w:val="ListParagraph"/>
              <w:spacing w:after="0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B39">
              <w:rPr>
                <w:rFonts w:ascii="Times New Roman" w:hAnsi="Times New Roman" w:cs="Times New Roman"/>
                <w:b/>
                <w:sz w:val="24"/>
                <w:szCs w:val="24"/>
              </w:rPr>
              <w:t>Comments</w:t>
            </w:r>
          </w:p>
        </w:tc>
      </w:tr>
      <w:tr w:rsidR="008356EA" w14:paraId="718B3223" w14:textId="77777777" w:rsidTr="002235B6">
        <w:tc>
          <w:tcPr>
            <w:tcW w:w="5760" w:type="dxa"/>
          </w:tcPr>
          <w:p w14:paraId="601D049A" w14:textId="77777777" w:rsidR="002265E5" w:rsidRDefault="00832B80" w:rsidP="00832B80">
            <w:pPr>
              <w:rPr>
                <w:rFonts w:cs="Times New Roman"/>
                <w:szCs w:val="24"/>
              </w:rPr>
            </w:pPr>
            <w:r w:rsidRPr="00832B80">
              <w:rPr>
                <w:rFonts w:cs="Times New Roman"/>
                <w:szCs w:val="24"/>
              </w:rPr>
              <w:t>Interview</w:t>
            </w:r>
            <w:r>
              <w:rPr>
                <w:rFonts w:cs="Times New Roman"/>
                <w:szCs w:val="24"/>
              </w:rPr>
              <w:t xml:space="preserve">ed </w:t>
            </w:r>
            <w:r w:rsidRPr="00832B80">
              <w:rPr>
                <w:rFonts w:cs="Times New Roman"/>
                <w:szCs w:val="24"/>
              </w:rPr>
              <w:t>a consumer (</w:t>
            </w:r>
            <w:r w:rsidRPr="00832B80">
              <w:rPr>
                <w:rFonts w:cs="Times New Roman"/>
                <w:b/>
                <w:color w:val="FF0000"/>
                <w:szCs w:val="24"/>
              </w:rPr>
              <w:t>DO NOT</w:t>
            </w:r>
            <w:r w:rsidRPr="00832B80">
              <w:rPr>
                <w:rFonts w:cs="Times New Roman"/>
                <w:color w:val="FF0000"/>
                <w:szCs w:val="24"/>
              </w:rPr>
              <w:t xml:space="preserve"> </w:t>
            </w:r>
            <w:r w:rsidRPr="00832B80">
              <w:rPr>
                <w:rFonts w:cs="Times New Roman"/>
                <w:szCs w:val="24"/>
              </w:rPr>
              <w:t xml:space="preserve">interview a health care professional) regarding their perception of patient engagement </w:t>
            </w:r>
            <w:proofErr w:type="gramStart"/>
            <w:r w:rsidRPr="00832B80">
              <w:rPr>
                <w:rFonts w:cs="Times New Roman"/>
                <w:szCs w:val="24"/>
              </w:rPr>
              <w:t>through the use of</w:t>
            </w:r>
            <w:proofErr w:type="gramEnd"/>
            <w:r w:rsidRPr="00832B80">
              <w:rPr>
                <w:rFonts w:cs="Times New Roman"/>
                <w:szCs w:val="24"/>
              </w:rPr>
              <w:t xml:space="preserve"> a patient portal</w:t>
            </w:r>
            <w:r w:rsidR="00C52CE1">
              <w:rPr>
                <w:rFonts w:cs="Times New Roman"/>
                <w:szCs w:val="24"/>
              </w:rPr>
              <w:t xml:space="preserve">. </w:t>
            </w:r>
          </w:p>
          <w:p w14:paraId="4BEAB076" w14:textId="01D0C445" w:rsidR="00C27B5E" w:rsidRPr="00307E40" w:rsidRDefault="00C52CE1" w:rsidP="00977E19">
            <w:r w:rsidRPr="00977E19">
              <w:rPr>
                <w:rFonts w:cs="Times New Roman"/>
                <w:b/>
                <w:color w:val="FF0000"/>
                <w:szCs w:val="24"/>
              </w:rPr>
              <w:t>You must select someone that uses a patient portal. It is not acceptable to use someone that does not use a patient portal. You make need to ask several people to identify someone that uses a portal.</w:t>
            </w:r>
            <w:r w:rsidR="004B7F55" w:rsidRPr="00977E19">
              <w:rPr>
                <w:rFonts w:cs="Times New Roman"/>
                <w:b/>
                <w:color w:val="FF0000"/>
                <w:szCs w:val="24"/>
              </w:rPr>
              <w:t xml:space="preserve"> </w:t>
            </w:r>
            <w:r w:rsidR="00977E19" w:rsidRPr="00977E19">
              <w:rPr>
                <w:rFonts w:cs="Times New Roman"/>
                <w:b/>
                <w:bCs/>
                <w:color w:val="FF0000"/>
                <w:szCs w:val="24"/>
              </w:rPr>
              <w:t>Comments must be completed.</w:t>
            </w:r>
          </w:p>
        </w:tc>
        <w:tc>
          <w:tcPr>
            <w:tcW w:w="1260" w:type="dxa"/>
          </w:tcPr>
          <w:p w14:paraId="05806DFF" w14:textId="52FF073B" w:rsidR="008356EA" w:rsidRPr="00294B39" w:rsidRDefault="00012C72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859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</w:tcPr>
          <w:p w14:paraId="2B087BEC" w14:textId="77777777" w:rsidR="008356EA" w:rsidRDefault="008356EA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14:paraId="7F86CD9E" w14:textId="77777777" w:rsidR="008356EA" w:rsidRDefault="008356EA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5935" w14:paraId="7507F883" w14:textId="77777777" w:rsidTr="002235B6">
        <w:tc>
          <w:tcPr>
            <w:tcW w:w="5760" w:type="dxa"/>
          </w:tcPr>
          <w:p w14:paraId="20299B46" w14:textId="6FB01012" w:rsidR="00A85935" w:rsidRPr="00832B80" w:rsidRDefault="00A85935" w:rsidP="00832B80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Introduction and purpose</w:t>
            </w:r>
          </w:p>
        </w:tc>
        <w:tc>
          <w:tcPr>
            <w:tcW w:w="1260" w:type="dxa"/>
          </w:tcPr>
          <w:p w14:paraId="773696AE" w14:textId="4196BAB2" w:rsidR="00A85935" w:rsidRDefault="00A85935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80" w:type="dxa"/>
          </w:tcPr>
          <w:p w14:paraId="043F91A4" w14:textId="77777777" w:rsidR="00A85935" w:rsidRDefault="00A85935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14:paraId="15C300F2" w14:textId="77777777" w:rsidR="00A85935" w:rsidRDefault="00A85935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5935" w14:paraId="6594A41E" w14:textId="77777777" w:rsidTr="002235B6">
        <w:tc>
          <w:tcPr>
            <w:tcW w:w="5760" w:type="dxa"/>
          </w:tcPr>
          <w:p w14:paraId="4D67DC7F" w14:textId="0E647FFD" w:rsidR="00A85935" w:rsidRDefault="00A85935" w:rsidP="00832B80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Conclusion </w:t>
            </w:r>
          </w:p>
        </w:tc>
        <w:tc>
          <w:tcPr>
            <w:tcW w:w="1260" w:type="dxa"/>
          </w:tcPr>
          <w:p w14:paraId="2482CEF4" w14:textId="636E7A02" w:rsidR="00A85935" w:rsidRDefault="00A85935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80" w:type="dxa"/>
          </w:tcPr>
          <w:p w14:paraId="494A1FD0" w14:textId="77777777" w:rsidR="00A85935" w:rsidRDefault="00A85935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14:paraId="3BB338BE" w14:textId="77777777" w:rsidR="00A85935" w:rsidRDefault="00A85935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5935" w14:paraId="4B34AF9A" w14:textId="77777777" w:rsidTr="002235B6">
        <w:tc>
          <w:tcPr>
            <w:tcW w:w="5760" w:type="dxa"/>
          </w:tcPr>
          <w:p w14:paraId="461B3AA5" w14:textId="08E65CCD" w:rsidR="00A85935" w:rsidRPr="00FC1CBD" w:rsidRDefault="00A85935" w:rsidP="00FC1CBD">
            <w:pPr>
              <w:rPr>
                <w:b/>
              </w:rPr>
            </w:pPr>
            <w:r w:rsidRPr="00FC1CBD">
              <w:rPr>
                <w:rFonts w:cs="Times New Roman"/>
                <w:b/>
                <w:color w:val="FF0000"/>
                <w:szCs w:val="24"/>
              </w:rPr>
              <w:t>Use</w:t>
            </w:r>
            <w:r w:rsidR="00FC1CBD">
              <w:rPr>
                <w:rFonts w:cs="Times New Roman"/>
                <w:b/>
                <w:color w:val="FF0000"/>
                <w:szCs w:val="24"/>
              </w:rPr>
              <w:t>d</w:t>
            </w:r>
            <w:r w:rsidRPr="00FC1CBD">
              <w:rPr>
                <w:rFonts w:cs="Times New Roman"/>
                <w:b/>
                <w:color w:val="FF0000"/>
                <w:szCs w:val="24"/>
              </w:rPr>
              <w:t xml:space="preserve"> the template provided</w:t>
            </w:r>
            <w:r w:rsidR="00FC1CBD" w:rsidRPr="00FC1CBD">
              <w:rPr>
                <w:rFonts w:cs="Times New Roman"/>
                <w:b/>
                <w:color w:val="FF0000"/>
                <w:szCs w:val="24"/>
              </w:rPr>
              <w:t>. Comments must be completed.</w:t>
            </w:r>
          </w:p>
        </w:tc>
        <w:tc>
          <w:tcPr>
            <w:tcW w:w="1260" w:type="dxa"/>
          </w:tcPr>
          <w:p w14:paraId="1DA5A868" w14:textId="20F2F541" w:rsidR="00A85935" w:rsidRDefault="00012C72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859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0" w:type="dxa"/>
          </w:tcPr>
          <w:p w14:paraId="773A56CC" w14:textId="77777777" w:rsidR="00A85935" w:rsidRDefault="00A85935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14:paraId="1420D915" w14:textId="77777777" w:rsidR="00A85935" w:rsidRDefault="00A85935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6EA" w14:paraId="53BE2FD7" w14:textId="77777777" w:rsidTr="002235B6">
        <w:tc>
          <w:tcPr>
            <w:tcW w:w="5760" w:type="dxa"/>
          </w:tcPr>
          <w:p w14:paraId="7D2CE741" w14:textId="674EAE7E" w:rsidR="00640017" w:rsidRPr="00307E40" w:rsidRDefault="00A85935" w:rsidP="00A85935">
            <w:r>
              <w:t>In the text references follow</w:t>
            </w:r>
            <w:r w:rsidR="00623AFF">
              <w:t>s</w:t>
            </w:r>
            <w:r>
              <w:t xml:space="preserve"> APA 7 style</w:t>
            </w:r>
          </w:p>
        </w:tc>
        <w:tc>
          <w:tcPr>
            <w:tcW w:w="1260" w:type="dxa"/>
          </w:tcPr>
          <w:p w14:paraId="3EB0A538" w14:textId="70FBD227" w:rsidR="008356EA" w:rsidRPr="00294B39" w:rsidRDefault="00A85935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</w:tcPr>
          <w:p w14:paraId="19BF31E2" w14:textId="77777777" w:rsidR="008356EA" w:rsidRDefault="008356EA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14:paraId="56E96B17" w14:textId="77777777" w:rsidR="008356EA" w:rsidRDefault="008356EA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6EA" w14:paraId="22E2DE7F" w14:textId="77777777" w:rsidTr="002235B6">
        <w:trPr>
          <w:trHeight w:val="395"/>
        </w:trPr>
        <w:tc>
          <w:tcPr>
            <w:tcW w:w="5760" w:type="dxa"/>
          </w:tcPr>
          <w:p w14:paraId="423E26D1" w14:textId="2C8A3FCB" w:rsidR="00832B80" w:rsidRPr="00294B39" w:rsidRDefault="00A85935" w:rsidP="00640017">
            <w:r>
              <w:lastRenderedPageBreak/>
              <w:t>Reference list follow</w:t>
            </w:r>
            <w:r w:rsidR="00623AFF">
              <w:t>s</w:t>
            </w:r>
            <w:r>
              <w:t xml:space="preserve"> APA 7 style</w:t>
            </w:r>
          </w:p>
        </w:tc>
        <w:tc>
          <w:tcPr>
            <w:tcW w:w="1260" w:type="dxa"/>
          </w:tcPr>
          <w:p w14:paraId="6564065A" w14:textId="07BA1B1B" w:rsidR="008356EA" w:rsidRPr="00294B39" w:rsidRDefault="002265E5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B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</w:tcPr>
          <w:p w14:paraId="49549026" w14:textId="77777777" w:rsidR="008356EA" w:rsidRDefault="008356EA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14:paraId="4C2AD965" w14:textId="77777777" w:rsidR="008356EA" w:rsidRDefault="008356EA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265E5" w14:paraId="774FDA81" w14:textId="77777777" w:rsidTr="002235B6">
        <w:trPr>
          <w:trHeight w:val="395"/>
        </w:trPr>
        <w:tc>
          <w:tcPr>
            <w:tcW w:w="5760" w:type="dxa"/>
          </w:tcPr>
          <w:p w14:paraId="747E69B4" w14:textId="061C2D1C" w:rsidR="002265E5" w:rsidRPr="00294B39" w:rsidRDefault="00A85935" w:rsidP="002235B6">
            <w:pPr>
              <w:tabs>
                <w:tab w:val="left" w:pos="2157"/>
                <w:tab w:val="left" w:pos="2592"/>
              </w:tabs>
            </w:pPr>
            <w:r>
              <w:t xml:space="preserve">Follows APA 7 style including headings and figures. </w:t>
            </w:r>
          </w:p>
        </w:tc>
        <w:tc>
          <w:tcPr>
            <w:tcW w:w="1260" w:type="dxa"/>
          </w:tcPr>
          <w:p w14:paraId="30AA07BE" w14:textId="77777777" w:rsidR="002265E5" w:rsidRPr="00294B39" w:rsidRDefault="00FC1BA2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0" w:type="dxa"/>
          </w:tcPr>
          <w:p w14:paraId="05F7C67D" w14:textId="77777777" w:rsidR="002265E5" w:rsidRDefault="002265E5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14:paraId="0D86614F" w14:textId="77777777" w:rsidR="002265E5" w:rsidRDefault="002265E5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6EA" w14:paraId="2D21D387" w14:textId="77777777" w:rsidTr="002235B6">
        <w:trPr>
          <w:trHeight w:val="305"/>
        </w:trPr>
        <w:tc>
          <w:tcPr>
            <w:tcW w:w="5760" w:type="dxa"/>
          </w:tcPr>
          <w:p w14:paraId="4D7E79A7" w14:textId="77777777" w:rsidR="008356EA" w:rsidRPr="00294B39" w:rsidRDefault="008356EA" w:rsidP="002235B6">
            <w:pPr>
              <w:pStyle w:val="ListParagraph"/>
              <w:spacing w:after="0" w:line="240" w:lineRule="auto"/>
              <w:ind w:left="0"/>
              <w:rPr>
                <w:b/>
              </w:rPr>
            </w:pPr>
            <w:r w:rsidRPr="00294B39">
              <w:rPr>
                <w:rFonts w:ascii="Times New Roman" w:hAnsi="Times New Roman" w:cs="Times New Roman"/>
                <w:sz w:val="24"/>
                <w:szCs w:val="24"/>
              </w:rPr>
              <w:t xml:space="preserve">Total </w:t>
            </w:r>
          </w:p>
        </w:tc>
        <w:tc>
          <w:tcPr>
            <w:tcW w:w="1260" w:type="dxa"/>
          </w:tcPr>
          <w:p w14:paraId="080DE000" w14:textId="77777777" w:rsidR="008356EA" w:rsidRPr="00294B39" w:rsidRDefault="008356EA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B3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80" w:type="dxa"/>
          </w:tcPr>
          <w:p w14:paraId="17571BCC" w14:textId="77777777" w:rsidR="008356EA" w:rsidRDefault="008356EA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68" w:type="dxa"/>
          </w:tcPr>
          <w:p w14:paraId="03D212A4" w14:textId="77777777" w:rsidR="008356EA" w:rsidRDefault="008356EA" w:rsidP="002235B6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5BCB37E" w14:textId="77777777" w:rsidR="008356EA" w:rsidRDefault="008356EA" w:rsidP="008356EA">
      <w:pPr>
        <w:spacing w:line="480" w:lineRule="auto"/>
        <w:ind w:left="720" w:hanging="720"/>
        <w:rPr>
          <w:rFonts w:cs="Times New Roman"/>
          <w:b/>
          <w:szCs w:val="24"/>
        </w:rPr>
      </w:pPr>
    </w:p>
    <w:p w14:paraId="333EAD42" w14:textId="77777777" w:rsidR="00691FDC" w:rsidRPr="00CA33F1" w:rsidRDefault="0088177D" w:rsidP="0088177D">
      <w:pPr>
        <w:spacing w:after="200" w:line="276" w:lineRule="auto"/>
        <w:rPr>
          <w:b/>
        </w:rPr>
      </w:pPr>
      <w:r>
        <w:rPr>
          <w:b/>
        </w:rPr>
        <w:t>S</w:t>
      </w:r>
      <w:r w:rsidR="00691FDC" w:rsidRPr="00CA33F1">
        <w:rPr>
          <w:b/>
        </w:rPr>
        <w:t>uggested Readings</w:t>
      </w:r>
    </w:p>
    <w:p w14:paraId="06899792" w14:textId="0FFD2025" w:rsidR="001A6EDB" w:rsidRPr="00420B79" w:rsidRDefault="001A6EDB" w:rsidP="001A6EDB">
      <w:pPr>
        <w:tabs>
          <w:tab w:val="left" w:pos="-1080"/>
          <w:tab w:val="left" w:pos="-720"/>
          <w:tab w:val="left" w:pos="90"/>
        </w:tabs>
        <w:spacing w:line="480" w:lineRule="auto"/>
        <w:ind w:left="720" w:hanging="720"/>
        <w:rPr>
          <w:rFonts w:cs="Times New Roman"/>
          <w:color w:val="000000" w:themeColor="text1"/>
          <w:szCs w:val="24"/>
        </w:rPr>
      </w:pPr>
      <w:r w:rsidRPr="00420B79">
        <w:rPr>
          <w:rFonts w:cs="Times New Roman"/>
          <w:color w:val="000000" w:themeColor="text1"/>
          <w:szCs w:val="24"/>
        </w:rPr>
        <w:t xml:space="preserve">Atienza, A. A., &amp; Patrick. K. (2011). Mobile health the killer app for cyberinfrastructure and consumer health. </w:t>
      </w:r>
      <w:r w:rsidRPr="00472129">
        <w:rPr>
          <w:rFonts w:cs="Times New Roman"/>
          <w:i/>
          <w:color w:val="000000" w:themeColor="text1"/>
          <w:szCs w:val="24"/>
        </w:rPr>
        <w:t>American Journal of Preventative Health</w:t>
      </w:r>
      <w:r>
        <w:rPr>
          <w:rFonts w:cs="Times New Roman"/>
          <w:color w:val="000000" w:themeColor="text1"/>
          <w:szCs w:val="24"/>
        </w:rPr>
        <w:t xml:space="preserve">, </w:t>
      </w:r>
      <w:r w:rsidRPr="00472129">
        <w:rPr>
          <w:rFonts w:cs="Times New Roman"/>
          <w:i/>
          <w:color w:val="000000" w:themeColor="text1"/>
          <w:szCs w:val="24"/>
        </w:rPr>
        <w:t>40</w:t>
      </w:r>
      <w:r>
        <w:rPr>
          <w:rFonts w:cs="Times New Roman"/>
          <w:color w:val="000000" w:themeColor="text1"/>
          <w:szCs w:val="24"/>
        </w:rPr>
        <w:t xml:space="preserve">(5), suppl. </w:t>
      </w:r>
      <w:r w:rsidRPr="00420B79">
        <w:rPr>
          <w:rFonts w:cs="Times New Roman"/>
          <w:color w:val="000000" w:themeColor="text1"/>
          <w:szCs w:val="24"/>
        </w:rPr>
        <w:t xml:space="preserve">S151 – S153. </w:t>
      </w:r>
      <w:hyperlink r:id="rId14" w:history="1">
        <w:r w:rsidR="0041340D" w:rsidRPr="00B30A08">
          <w:rPr>
            <w:rStyle w:val="Hyperlink"/>
            <w:rFonts w:cs="Times New Roman"/>
            <w:szCs w:val="24"/>
            <w:shd w:val="clear" w:color="auto" w:fill="FFFFFF"/>
          </w:rPr>
          <w:t>https://doi.org/10.1016/j.amepre.2011.01.008</w:t>
        </w:r>
      </w:hyperlink>
    </w:p>
    <w:p w14:paraId="6788604D" w14:textId="68FF16AD" w:rsidR="00691FDC" w:rsidRDefault="00691FDC" w:rsidP="00122E60">
      <w:pPr>
        <w:tabs>
          <w:tab w:val="left" w:pos="270"/>
          <w:tab w:val="left" w:pos="2592"/>
        </w:tabs>
        <w:spacing w:line="480" w:lineRule="auto"/>
        <w:ind w:left="720" w:hanging="720"/>
      </w:pPr>
      <w:r>
        <w:t>Carman, K.</w:t>
      </w:r>
      <w:r w:rsidR="00CA33F1">
        <w:t xml:space="preserve"> </w:t>
      </w:r>
      <w:r>
        <w:t xml:space="preserve">L., </w:t>
      </w:r>
      <w:proofErr w:type="spellStart"/>
      <w:r>
        <w:t>Dardess</w:t>
      </w:r>
      <w:proofErr w:type="spellEnd"/>
      <w:r>
        <w:t xml:space="preserve">, P., Maurer, M., </w:t>
      </w:r>
      <w:proofErr w:type="spellStart"/>
      <w:r>
        <w:t>Sofaer</w:t>
      </w:r>
      <w:proofErr w:type="spellEnd"/>
      <w:r>
        <w:t xml:space="preserve">, S., Adams, K., Bechtel, </w:t>
      </w:r>
      <w:proofErr w:type="gramStart"/>
      <w:r>
        <w:t>C,,</w:t>
      </w:r>
      <w:proofErr w:type="gramEnd"/>
      <w:r>
        <w:t xml:space="preserve"> et al. (2013). Patient and family engagement: a framework for understanding the elements and developing interventions and policies. </w:t>
      </w:r>
      <w:r w:rsidRPr="00691FDC">
        <w:rPr>
          <w:i/>
        </w:rPr>
        <w:t xml:space="preserve">Health </w:t>
      </w:r>
      <w:proofErr w:type="spellStart"/>
      <w:r w:rsidRPr="00691FDC">
        <w:rPr>
          <w:i/>
        </w:rPr>
        <w:t>Aff</w:t>
      </w:r>
      <w:proofErr w:type="spellEnd"/>
      <w:r>
        <w:t xml:space="preserve">, </w:t>
      </w:r>
      <w:r w:rsidRPr="00691FDC">
        <w:rPr>
          <w:i/>
        </w:rPr>
        <w:t>32</w:t>
      </w:r>
      <w:r>
        <w:t xml:space="preserve">(2), 223-31. </w:t>
      </w:r>
      <w:hyperlink r:id="rId15" w:history="1">
        <w:r w:rsidR="00420EA0" w:rsidRPr="00C153DA">
          <w:rPr>
            <w:rStyle w:val="Hyperlink"/>
          </w:rPr>
          <w:t>https://www.healthaffairs.org/doi/abs/10.1377/hlthaff.2012.1133?url_ver=Z39.88-2003&amp;rfr_id=ori%3Arid%3Acrossref.org&amp;rfr_dat=cr_pub%3Dpubmed</w:t>
        </w:r>
      </w:hyperlink>
    </w:p>
    <w:p w14:paraId="75E366E0" w14:textId="773FF46A" w:rsidR="0051167C" w:rsidRDefault="0051167C" w:rsidP="0051167C">
      <w:pPr>
        <w:tabs>
          <w:tab w:val="left" w:pos="-1080"/>
          <w:tab w:val="left" w:pos="-720"/>
          <w:tab w:val="left" w:pos="90"/>
        </w:tabs>
        <w:spacing w:line="480" w:lineRule="auto"/>
        <w:ind w:left="720" w:hanging="720"/>
      </w:pPr>
      <w:r>
        <w:t xml:space="preserve">ONC. (2015). Health IT strategic plan: 2015-2020. </w:t>
      </w:r>
      <w:r w:rsidRPr="00B70938">
        <w:t>https://www.healthit.gov/sites/default/files/9-5-federalhealthitstratplanfinal_0.pdf</w:t>
      </w:r>
    </w:p>
    <w:p w14:paraId="2FEE97B6" w14:textId="091A0580" w:rsidR="0037098E" w:rsidRDefault="0037098E" w:rsidP="00122E60">
      <w:pPr>
        <w:tabs>
          <w:tab w:val="left" w:pos="270"/>
          <w:tab w:val="left" w:pos="2592"/>
        </w:tabs>
        <w:spacing w:line="480" w:lineRule="auto"/>
        <w:ind w:left="720" w:hanging="720"/>
      </w:pPr>
      <w:r>
        <w:t xml:space="preserve">ONC. (2012). Patient generated health data. </w:t>
      </w:r>
      <w:hyperlink r:id="rId16" w:history="1">
        <w:r w:rsidR="009E585D" w:rsidRPr="00C153DA">
          <w:rPr>
            <w:rStyle w:val="Hyperlink"/>
          </w:rPr>
          <w:t>https://www.healthit.gov/sites/default/files/rti_pghd_whitepaper_april_2012.pdf</w:t>
        </w:r>
      </w:hyperlink>
    </w:p>
    <w:p w14:paraId="6F3EF02A" w14:textId="00143726" w:rsidR="009E585D" w:rsidRDefault="009E585D" w:rsidP="009E585D">
      <w:pPr>
        <w:pStyle w:val="Heading1"/>
        <w:shd w:val="clear" w:color="auto" w:fill="FFFFFF"/>
        <w:spacing w:before="0" w:beforeAutospacing="0" w:after="0" w:afterAutospacing="0" w:line="480" w:lineRule="auto"/>
        <w:ind w:left="720" w:hanging="720"/>
        <w:rPr>
          <w:b w:val="0"/>
          <w:color w:val="000000" w:themeColor="text1"/>
          <w:spacing w:val="-3"/>
          <w:sz w:val="24"/>
          <w:szCs w:val="24"/>
        </w:rPr>
      </w:pPr>
      <w:r w:rsidRPr="0051167C">
        <w:rPr>
          <w:b w:val="0"/>
          <w:color w:val="000000" w:themeColor="text1"/>
          <w:sz w:val="24"/>
          <w:szCs w:val="24"/>
        </w:rPr>
        <w:t>ONC. (</w:t>
      </w:r>
      <w:r>
        <w:rPr>
          <w:b w:val="0"/>
          <w:color w:val="000000" w:themeColor="text1"/>
          <w:sz w:val="24"/>
          <w:szCs w:val="24"/>
        </w:rPr>
        <w:t>2014</w:t>
      </w:r>
      <w:r w:rsidRPr="0051167C">
        <w:rPr>
          <w:b w:val="0"/>
          <w:color w:val="000000" w:themeColor="text1"/>
          <w:sz w:val="24"/>
          <w:szCs w:val="24"/>
        </w:rPr>
        <w:t>).</w:t>
      </w:r>
      <w:r w:rsidR="007E52D9">
        <w:rPr>
          <w:b w:val="0"/>
          <w:color w:val="000000" w:themeColor="text1"/>
          <w:sz w:val="24"/>
          <w:szCs w:val="24"/>
        </w:rPr>
        <w:t xml:space="preserve"> </w:t>
      </w:r>
      <w:r>
        <w:rPr>
          <w:b w:val="0"/>
          <w:color w:val="000000" w:themeColor="text1"/>
          <w:spacing w:val="-3"/>
          <w:sz w:val="24"/>
          <w:szCs w:val="24"/>
        </w:rPr>
        <w:t>Your mobile device and health information priv</w:t>
      </w:r>
      <w:r w:rsidRPr="0051167C">
        <w:rPr>
          <w:b w:val="0"/>
          <w:color w:val="000000" w:themeColor="text1"/>
          <w:spacing w:val="-3"/>
          <w:sz w:val="24"/>
          <w:szCs w:val="24"/>
        </w:rPr>
        <w:t xml:space="preserve">acy and </w:t>
      </w:r>
      <w:r>
        <w:rPr>
          <w:b w:val="0"/>
          <w:color w:val="000000" w:themeColor="text1"/>
          <w:spacing w:val="-3"/>
          <w:sz w:val="24"/>
          <w:szCs w:val="24"/>
        </w:rPr>
        <w:t>s</w:t>
      </w:r>
      <w:r w:rsidRPr="0051167C">
        <w:rPr>
          <w:b w:val="0"/>
          <w:color w:val="000000" w:themeColor="text1"/>
          <w:spacing w:val="-3"/>
          <w:sz w:val="24"/>
          <w:szCs w:val="24"/>
        </w:rPr>
        <w:t>ecurity</w:t>
      </w:r>
      <w:r>
        <w:rPr>
          <w:b w:val="0"/>
          <w:color w:val="000000" w:themeColor="text1"/>
          <w:spacing w:val="-3"/>
          <w:sz w:val="24"/>
          <w:szCs w:val="24"/>
        </w:rPr>
        <w:t xml:space="preserve">. </w:t>
      </w:r>
      <w:hyperlink r:id="rId17" w:history="1">
        <w:r w:rsidRPr="00C153DA">
          <w:rPr>
            <w:rStyle w:val="Hyperlink"/>
            <w:b w:val="0"/>
            <w:spacing w:val="-3"/>
            <w:sz w:val="24"/>
            <w:szCs w:val="24"/>
          </w:rPr>
          <w:t>https://www.healthit.gov/providers-professionals/your-mobile-device-and-health-information-privacy-and-security</w:t>
        </w:r>
      </w:hyperlink>
    </w:p>
    <w:p w14:paraId="5C906D4C" w14:textId="77777777" w:rsidR="009E585D" w:rsidRPr="00472129" w:rsidRDefault="009E585D" w:rsidP="009E585D">
      <w:pPr>
        <w:pStyle w:val="Heading1"/>
        <w:shd w:val="clear" w:color="auto" w:fill="FFFFFF"/>
        <w:spacing w:before="0" w:beforeAutospacing="0" w:after="0" w:afterAutospacing="0" w:line="480" w:lineRule="auto"/>
        <w:ind w:left="720" w:hanging="720"/>
        <w:rPr>
          <w:b w:val="0"/>
          <w:color w:val="000000" w:themeColor="text1"/>
          <w:spacing w:val="-3"/>
          <w:sz w:val="24"/>
          <w:szCs w:val="24"/>
        </w:rPr>
      </w:pPr>
      <w:r w:rsidRPr="00472129">
        <w:rPr>
          <w:b w:val="0"/>
          <w:color w:val="303030"/>
          <w:sz w:val="24"/>
          <w:szCs w:val="24"/>
          <w:shd w:val="clear" w:color="auto" w:fill="FFFFFF"/>
        </w:rPr>
        <w:t>Owen, J. E., Jaworski, B. K., Kuhn, E., Makin-Byrd, K. N., Ramsey, K. M., &amp; Hoffman, J. E. (2015). mHealth in the wild: Using novel data to examine the reach, use, and impact of PTSD Coach. </w:t>
      </w:r>
      <w:r w:rsidRPr="00472129">
        <w:rPr>
          <w:b w:val="0"/>
          <w:i/>
          <w:iCs/>
          <w:color w:val="303030"/>
          <w:sz w:val="24"/>
          <w:szCs w:val="24"/>
          <w:shd w:val="clear" w:color="auto" w:fill="FFFFFF"/>
        </w:rPr>
        <w:t>JMIR Mental Health</w:t>
      </w:r>
      <w:r w:rsidRPr="00472129">
        <w:rPr>
          <w:b w:val="0"/>
          <w:color w:val="303030"/>
          <w:sz w:val="24"/>
          <w:szCs w:val="24"/>
          <w:shd w:val="clear" w:color="auto" w:fill="FFFFFF"/>
        </w:rPr>
        <w:t>, </w:t>
      </w:r>
      <w:r w:rsidRPr="00472129">
        <w:rPr>
          <w:b w:val="0"/>
          <w:i/>
          <w:iCs/>
          <w:color w:val="303030"/>
          <w:sz w:val="24"/>
          <w:szCs w:val="24"/>
          <w:shd w:val="clear" w:color="auto" w:fill="FFFFFF"/>
        </w:rPr>
        <w:t>2</w:t>
      </w:r>
      <w:r w:rsidRPr="00472129">
        <w:rPr>
          <w:b w:val="0"/>
          <w:color w:val="303030"/>
          <w:sz w:val="24"/>
          <w:szCs w:val="24"/>
          <w:shd w:val="clear" w:color="auto" w:fill="FFFFFF"/>
        </w:rPr>
        <w:t>(1), e7. http://doi.org/10.2196/mental.3935</w:t>
      </w:r>
    </w:p>
    <w:p w14:paraId="2BBDE822" w14:textId="61471917" w:rsidR="00420EA0" w:rsidRDefault="00420EA0" w:rsidP="00122E60">
      <w:pPr>
        <w:tabs>
          <w:tab w:val="left" w:pos="270"/>
          <w:tab w:val="left" w:pos="2592"/>
        </w:tabs>
        <w:spacing w:line="480" w:lineRule="auto"/>
        <w:ind w:left="720" w:hanging="720"/>
        <w:rPr>
          <w:b/>
        </w:rPr>
      </w:pPr>
      <w:r>
        <w:lastRenderedPageBreak/>
        <w:t xml:space="preserve">World Health Organization (WHO). (2016). Patient engagement: Technical series on safer primary care. </w:t>
      </w:r>
      <w:r w:rsidRPr="00420EA0">
        <w:t>http://apps.who.int/iris/bitstream/10665/252269/1/9789241511629-eng.pdf</w:t>
      </w:r>
    </w:p>
    <w:p w14:paraId="2F7F2CEE" w14:textId="77777777" w:rsidR="00122E60" w:rsidRDefault="00122E60" w:rsidP="009B3A0F">
      <w:pPr>
        <w:tabs>
          <w:tab w:val="left" w:pos="-1080"/>
          <w:tab w:val="left" w:pos="-720"/>
          <w:tab w:val="left" w:pos="0"/>
          <w:tab w:val="left" w:pos="90"/>
        </w:tabs>
        <w:rPr>
          <w:rFonts w:cs="Times New Roman"/>
          <w:b/>
        </w:rPr>
      </w:pPr>
    </w:p>
    <w:p w14:paraId="1C46F938" w14:textId="77777777" w:rsidR="0088177D" w:rsidRDefault="0088177D">
      <w:pPr>
        <w:spacing w:after="200" w:line="276" w:lineRule="auto"/>
      </w:pPr>
      <w:r>
        <w:br w:type="page"/>
      </w:r>
    </w:p>
    <w:p w14:paraId="69D3992E" w14:textId="77777777" w:rsidR="00931218" w:rsidRPr="00931218" w:rsidRDefault="00931218" w:rsidP="004A1A45">
      <w:pPr>
        <w:tabs>
          <w:tab w:val="left" w:pos="2157"/>
          <w:tab w:val="left" w:pos="2592"/>
        </w:tabs>
        <w:spacing w:line="480" w:lineRule="auto"/>
        <w:ind w:left="2160" w:hanging="2160"/>
        <w:jc w:val="center"/>
      </w:pPr>
      <w:r w:rsidRPr="00931218">
        <w:lastRenderedPageBreak/>
        <w:t>References</w:t>
      </w:r>
    </w:p>
    <w:p w14:paraId="75A8709F" w14:textId="77777777" w:rsidR="004A1A45" w:rsidRPr="004A1A45" w:rsidRDefault="004A1A45" w:rsidP="004A1A45">
      <w:pPr>
        <w:pStyle w:val="Heading1"/>
        <w:shd w:val="clear" w:color="auto" w:fill="FFFFFF"/>
        <w:spacing w:before="0" w:beforeAutospacing="0" w:after="0" w:afterAutospacing="0" w:line="480" w:lineRule="auto"/>
        <w:ind w:left="720" w:hanging="720"/>
        <w:rPr>
          <w:b w:val="0"/>
          <w:color w:val="000000"/>
          <w:sz w:val="24"/>
          <w:szCs w:val="24"/>
        </w:rPr>
      </w:pPr>
      <w:r w:rsidRPr="004A1A45">
        <w:rPr>
          <w:b w:val="0"/>
          <w:sz w:val="24"/>
          <w:szCs w:val="24"/>
        </w:rPr>
        <w:t xml:space="preserve">CMS. (2013). </w:t>
      </w:r>
      <w:r w:rsidRPr="004A1A45">
        <w:rPr>
          <w:b w:val="0"/>
          <w:color w:val="000000"/>
          <w:sz w:val="24"/>
          <w:szCs w:val="24"/>
        </w:rPr>
        <w:t>Stage</w:t>
      </w:r>
      <w:r>
        <w:rPr>
          <w:b w:val="0"/>
          <w:color w:val="000000"/>
          <w:sz w:val="24"/>
          <w:szCs w:val="24"/>
        </w:rPr>
        <w:t xml:space="preserve"> 2: Engaging p</w:t>
      </w:r>
      <w:r w:rsidRPr="004A1A45">
        <w:rPr>
          <w:b w:val="0"/>
          <w:color w:val="000000"/>
          <w:sz w:val="24"/>
          <w:szCs w:val="24"/>
        </w:rPr>
        <w:t xml:space="preserve">atients in </w:t>
      </w:r>
      <w:r>
        <w:rPr>
          <w:b w:val="0"/>
          <w:color w:val="000000"/>
          <w:sz w:val="24"/>
          <w:szCs w:val="24"/>
        </w:rPr>
        <w:t>their health c</w:t>
      </w:r>
      <w:r w:rsidRPr="004A1A45">
        <w:rPr>
          <w:b w:val="0"/>
          <w:color w:val="000000"/>
          <w:sz w:val="24"/>
          <w:szCs w:val="24"/>
        </w:rPr>
        <w:t>are</w:t>
      </w:r>
      <w:r>
        <w:rPr>
          <w:b w:val="0"/>
          <w:color w:val="000000"/>
          <w:sz w:val="24"/>
          <w:szCs w:val="24"/>
        </w:rPr>
        <w:t xml:space="preserve">. </w:t>
      </w:r>
      <w:r w:rsidRPr="004A1A45">
        <w:rPr>
          <w:b w:val="0"/>
          <w:color w:val="000000"/>
          <w:sz w:val="24"/>
          <w:szCs w:val="24"/>
        </w:rPr>
        <w:t>https://www.cms.gov/eHealth/ListServ_Stage2_EngagingPatients.html</w:t>
      </w:r>
    </w:p>
    <w:p w14:paraId="59F567B7" w14:textId="77777777" w:rsidR="00931218" w:rsidRDefault="00931218" w:rsidP="00833DFB">
      <w:pPr>
        <w:tabs>
          <w:tab w:val="left" w:pos="270"/>
          <w:tab w:val="left" w:pos="2592"/>
        </w:tabs>
        <w:spacing w:line="480" w:lineRule="auto"/>
        <w:ind w:left="720" w:hanging="720"/>
      </w:pPr>
      <w:r>
        <w:t xml:space="preserve">Coulter A. (2011). </w:t>
      </w:r>
      <w:r w:rsidRPr="00FA5ECD">
        <w:rPr>
          <w:i/>
        </w:rPr>
        <w:t>Engaging patients in healthcare</w:t>
      </w:r>
      <w:r>
        <w:t xml:space="preserve"> (p. 10). New York, NY: McGraw-Hill Education. </w:t>
      </w:r>
    </w:p>
    <w:p w14:paraId="3698BD4F" w14:textId="77777777" w:rsidR="0007327B" w:rsidRDefault="0007327B" w:rsidP="00833DFB">
      <w:pPr>
        <w:tabs>
          <w:tab w:val="left" w:pos="270"/>
          <w:tab w:val="left" w:pos="2592"/>
        </w:tabs>
        <w:spacing w:line="480" w:lineRule="auto"/>
        <w:ind w:left="720" w:hanging="720"/>
      </w:pPr>
      <w:r>
        <w:t xml:space="preserve">Brennan, P. F., &amp; Safran, C. 2005. </w:t>
      </w:r>
      <w:r w:rsidR="00833DFB">
        <w:t xml:space="preserve">Empower-consumers. In D. Lewis, W. V. Slack, G. </w:t>
      </w:r>
      <w:proofErr w:type="spellStart"/>
      <w:r w:rsidR="00833DFB">
        <w:t>Eysenbach</w:t>
      </w:r>
      <w:proofErr w:type="spellEnd"/>
      <w:r w:rsidR="00833DFB">
        <w:t xml:space="preserve">, R. </w:t>
      </w:r>
      <w:proofErr w:type="spellStart"/>
      <w:r w:rsidR="00833DFB">
        <w:t>Kukafka</w:t>
      </w:r>
      <w:proofErr w:type="spellEnd"/>
      <w:r w:rsidR="00833DFB">
        <w:t xml:space="preserve">, P. Z. </w:t>
      </w:r>
      <w:proofErr w:type="spellStart"/>
      <w:r w:rsidR="00833DFB">
        <w:t>Starvi</w:t>
      </w:r>
      <w:proofErr w:type="spellEnd"/>
      <w:r w:rsidR="00833DFB">
        <w:t xml:space="preserve">, &amp; H. </w:t>
      </w:r>
      <w:proofErr w:type="spellStart"/>
      <w:r w:rsidR="00833DFB">
        <w:t>Jimison</w:t>
      </w:r>
      <w:proofErr w:type="spellEnd"/>
      <w:r w:rsidR="00833DFB">
        <w:t xml:space="preserve"> (Eds.), </w:t>
      </w:r>
      <w:r w:rsidR="00833DFB" w:rsidRPr="00833DFB">
        <w:rPr>
          <w:i/>
        </w:rPr>
        <w:t>Consumer health informatics: Informing consumers and improving health care</w:t>
      </w:r>
      <w:r w:rsidR="00833DFB">
        <w:t xml:space="preserve"> (pp. 8-21). New York, NY: Spring Science + Business Media.</w:t>
      </w:r>
      <w:r w:rsidR="009E585D">
        <w:t xml:space="preserve"> Retrieved from </w:t>
      </w:r>
      <w:r w:rsidR="009E585D" w:rsidRPr="009E585D">
        <w:t>http://eknygos.lsmuni.lt/springer/98/8-21.pdf</w:t>
      </w:r>
    </w:p>
    <w:p w14:paraId="1CA353C5" w14:textId="77777777" w:rsidR="00931218" w:rsidRDefault="004A1A45" w:rsidP="00833DFB">
      <w:pPr>
        <w:tabs>
          <w:tab w:val="left" w:pos="270"/>
          <w:tab w:val="left" w:pos="2592"/>
        </w:tabs>
        <w:spacing w:line="480" w:lineRule="auto"/>
        <w:ind w:left="720" w:hanging="720"/>
      </w:pPr>
      <w:proofErr w:type="gramStart"/>
      <w:r>
        <w:t>WHO</w:t>
      </w:r>
      <w:r w:rsidR="00931218">
        <w:t>.</w:t>
      </w:r>
      <w:proofErr w:type="gramEnd"/>
      <w:r w:rsidR="00931218">
        <w:t xml:space="preserve"> (2018). eHealth. Retrieved from </w:t>
      </w:r>
      <w:r w:rsidR="00931218" w:rsidRPr="00140EC4">
        <w:t>http://www.who.int/ehealth/en/</w:t>
      </w:r>
    </w:p>
    <w:p w14:paraId="40D17EC3" w14:textId="77777777" w:rsidR="00931218" w:rsidRPr="006706D5" w:rsidRDefault="00931218" w:rsidP="009B3A0F">
      <w:pPr>
        <w:tabs>
          <w:tab w:val="left" w:pos="-1080"/>
          <w:tab w:val="left" w:pos="-720"/>
          <w:tab w:val="left" w:pos="720"/>
        </w:tabs>
        <w:ind w:left="720" w:hanging="720"/>
        <w:rPr>
          <w:color w:val="000000"/>
        </w:rPr>
      </w:pPr>
    </w:p>
    <w:p w14:paraId="3FF8E2A5" w14:textId="77777777" w:rsidR="002D32BA" w:rsidRDefault="002D32BA" w:rsidP="009B3A0F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4A1BABAF" w14:textId="77777777" w:rsidR="000C252F" w:rsidRPr="00764A6B" w:rsidRDefault="000C252F" w:rsidP="00363029">
      <w:pPr>
        <w:spacing w:line="480" w:lineRule="auto"/>
        <w:ind w:left="720" w:hanging="720"/>
        <w:rPr>
          <w:rFonts w:eastAsia="Times New Roman" w:cs="Times New Roman"/>
          <w:color w:val="000000"/>
          <w:szCs w:val="24"/>
        </w:rPr>
      </w:pPr>
    </w:p>
    <w:p w14:paraId="229626F4" w14:textId="77777777" w:rsidR="007E7D16" w:rsidRDefault="007E7D16" w:rsidP="00363029">
      <w:pPr>
        <w:spacing w:line="480" w:lineRule="auto"/>
      </w:pPr>
    </w:p>
    <w:sectPr w:rsidR="007E7D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45 Light">
    <w:altName w:val="Univers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F60C1"/>
    <w:multiLevelType w:val="hybridMultilevel"/>
    <w:tmpl w:val="5344C30C"/>
    <w:lvl w:ilvl="0" w:tplc="628C0C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56037"/>
    <w:multiLevelType w:val="hybridMultilevel"/>
    <w:tmpl w:val="E00CAED4"/>
    <w:lvl w:ilvl="0" w:tplc="DF00B5F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47672"/>
    <w:multiLevelType w:val="hybridMultilevel"/>
    <w:tmpl w:val="6FBCF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04003A"/>
    <w:multiLevelType w:val="hybridMultilevel"/>
    <w:tmpl w:val="9D6E29F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D9D3BA2"/>
    <w:multiLevelType w:val="hybridMultilevel"/>
    <w:tmpl w:val="CE4815AE"/>
    <w:lvl w:ilvl="0" w:tplc="F24862B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bCs w:val="0"/>
        <w:i w:val="0"/>
        <w:iCs w:val="0"/>
        <w:color w:val="000000" w:themeColor="text1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185E7B"/>
    <w:multiLevelType w:val="hybridMultilevel"/>
    <w:tmpl w:val="5D4A4A24"/>
    <w:lvl w:ilvl="0" w:tplc="3A56531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9B3971"/>
    <w:multiLevelType w:val="hybridMultilevel"/>
    <w:tmpl w:val="BD1A1474"/>
    <w:lvl w:ilvl="0" w:tplc="16CE5A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894F75"/>
    <w:multiLevelType w:val="hybridMultilevel"/>
    <w:tmpl w:val="28FA7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572F4A"/>
    <w:multiLevelType w:val="hybridMultilevel"/>
    <w:tmpl w:val="D6529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B546C7"/>
    <w:multiLevelType w:val="hybridMultilevel"/>
    <w:tmpl w:val="0AB29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B6551E"/>
    <w:multiLevelType w:val="hybridMultilevel"/>
    <w:tmpl w:val="2F4CF7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57644"/>
    <w:multiLevelType w:val="hybridMultilevel"/>
    <w:tmpl w:val="D2046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1F3576"/>
    <w:multiLevelType w:val="hybridMultilevel"/>
    <w:tmpl w:val="7ECA94C8"/>
    <w:lvl w:ilvl="0" w:tplc="3ED6FC2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3"/>
  </w:num>
  <w:num w:numId="6">
    <w:abstractNumId w:val="10"/>
  </w:num>
  <w:num w:numId="7">
    <w:abstractNumId w:val="11"/>
  </w:num>
  <w:num w:numId="8">
    <w:abstractNumId w:val="4"/>
  </w:num>
  <w:num w:numId="9">
    <w:abstractNumId w:val="12"/>
  </w:num>
  <w:num w:numId="10">
    <w:abstractNumId w:val="1"/>
  </w:num>
  <w:num w:numId="11">
    <w:abstractNumId w:val="5"/>
  </w:num>
  <w:num w:numId="12">
    <w:abstractNumId w:val="0"/>
  </w:num>
  <w:num w:numId="13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zQ1tTA2MzIzNrA0NTBT0lEKTi0uzszPAykwrQUAwLIfTiwAAAA="/>
  </w:docVars>
  <w:rsids>
    <w:rsidRoot w:val="00EE255B"/>
    <w:rsid w:val="00000178"/>
    <w:rsid w:val="00001613"/>
    <w:rsid w:val="00002020"/>
    <w:rsid w:val="00002A6C"/>
    <w:rsid w:val="00005CA3"/>
    <w:rsid w:val="00012C72"/>
    <w:rsid w:val="0002140A"/>
    <w:rsid w:val="00024BB8"/>
    <w:rsid w:val="00024DC2"/>
    <w:rsid w:val="00030C0D"/>
    <w:rsid w:val="00031215"/>
    <w:rsid w:val="00044E12"/>
    <w:rsid w:val="00045277"/>
    <w:rsid w:val="000467F2"/>
    <w:rsid w:val="00054593"/>
    <w:rsid w:val="00055203"/>
    <w:rsid w:val="0005582F"/>
    <w:rsid w:val="00055B1A"/>
    <w:rsid w:val="0006382C"/>
    <w:rsid w:val="000644C1"/>
    <w:rsid w:val="000645D3"/>
    <w:rsid w:val="00065673"/>
    <w:rsid w:val="00070208"/>
    <w:rsid w:val="00071174"/>
    <w:rsid w:val="00072932"/>
    <w:rsid w:val="0007327B"/>
    <w:rsid w:val="00080C2B"/>
    <w:rsid w:val="000825E8"/>
    <w:rsid w:val="00082870"/>
    <w:rsid w:val="00084124"/>
    <w:rsid w:val="00084D2C"/>
    <w:rsid w:val="00085182"/>
    <w:rsid w:val="00086A08"/>
    <w:rsid w:val="00091173"/>
    <w:rsid w:val="0009139C"/>
    <w:rsid w:val="00092814"/>
    <w:rsid w:val="000952F9"/>
    <w:rsid w:val="000A5C3A"/>
    <w:rsid w:val="000A620E"/>
    <w:rsid w:val="000B25D8"/>
    <w:rsid w:val="000B27E7"/>
    <w:rsid w:val="000B2B3E"/>
    <w:rsid w:val="000B30F4"/>
    <w:rsid w:val="000B4214"/>
    <w:rsid w:val="000C00D7"/>
    <w:rsid w:val="000C252F"/>
    <w:rsid w:val="000C3836"/>
    <w:rsid w:val="000C4406"/>
    <w:rsid w:val="000C5C63"/>
    <w:rsid w:val="000D0886"/>
    <w:rsid w:val="000D494F"/>
    <w:rsid w:val="000E093C"/>
    <w:rsid w:val="000E0E00"/>
    <w:rsid w:val="000E41B1"/>
    <w:rsid w:val="000F3DF0"/>
    <w:rsid w:val="000F6447"/>
    <w:rsid w:val="00100BA3"/>
    <w:rsid w:val="00107A66"/>
    <w:rsid w:val="00107F61"/>
    <w:rsid w:val="0011235C"/>
    <w:rsid w:val="00112E77"/>
    <w:rsid w:val="00113797"/>
    <w:rsid w:val="00115661"/>
    <w:rsid w:val="00116901"/>
    <w:rsid w:val="00117C46"/>
    <w:rsid w:val="00121E6E"/>
    <w:rsid w:val="00122E60"/>
    <w:rsid w:val="00123E09"/>
    <w:rsid w:val="00132070"/>
    <w:rsid w:val="00140EC4"/>
    <w:rsid w:val="001427DB"/>
    <w:rsid w:val="00145BA1"/>
    <w:rsid w:val="00150F71"/>
    <w:rsid w:val="00151791"/>
    <w:rsid w:val="00155330"/>
    <w:rsid w:val="0016215B"/>
    <w:rsid w:val="00163289"/>
    <w:rsid w:val="00164C7F"/>
    <w:rsid w:val="001655BC"/>
    <w:rsid w:val="00166B81"/>
    <w:rsid w:val="00166DA0"/>
    <w:rsid w:val="001703E0"/>
    <w:rsid w:val="0017180E"/>
    <w:rsid w:val="00177A8E"/>
    <w:rsid w:val="001818EE"/>
    <w:rsid w:val="00181FB6"/>
    <w:rsid w:val="00187498"/>
    <w:rsid w:val="00195A70"/>
    <w:rsid w:val="0019745B"/>
    <w:rsid w:val="001A4256"/>
    <w:rsid w:val="001A6EDB"/>
    <w:rsid w:val="001A6F0E"/>
    <w:rsid w:val="001B5776"/>
    <w:rsid w:val="001C644F"/>
    <w:rsid w:val="001D639A"/>
    <w:rsid w:val="001D6A62"/>
    <w:rsid w:val="001E06ED"/>
    <w:rsid w:val="001E09E7"/>
    <w:rsid w:val="001E2767"/>
    <w:rsid w:val="001E4BB2"/>
    <w:rsid w:val="001E4C24"/>
    <w:rsid w:val="001E6056"/>
    <w:rsid w:val="001E771B"/>
    <w:rsid w:val="001F0A67"/>
    <w:rsid w:val="001F3C42"/>
    <w:rsid w:val="001F3CA4"/>
    <w:rsid w:val="00200293"/>
    <w:rsid w:val="00200E82"/>
    <w:rsid w:val="0020449D"/>
    <w:rsid w:val="0020471C"/>
    <w:rsid w:val="00206DAB"/>
    <w:rsid w:val="00207328"/>
    <w:rsid w:val="00222311"/>
    <w:rsid w:val="002235B6"/>
    <w:rsid w:val="002265E5"/>
    <w:rsid w:val="00230C63"/>
    <w:rsid w:val="00230F06"/>
    <w:rsid w:val="00234A80"/>
    <w:rsid w:val="00235043"/>
    <w:rsid w:val="0024425C"/>
    <w:rsid w:val="002448E2"/>
    <w:rsid w:val="00252317"/>
    <w:rsid w:val="00252A06"/>
    <w:rsid w:val="002548CA"/>
    <w:rsid w:val="00254BF8"/>
    <w:rsid w:val="00255CEC"/>
    <w:rsid w:val="002574EE"/>
    <w:rsid w:val="0026038F"/>
    <w:rsid w:val="0026068C"/>
    <w:rsid w:val="002616F6"/>
    <w:rsid w:val="00264887"/>
    <w:rsid w:val="00266FDA"/>
    <w:rsid w:val="00271530"/>
    <w:rsid w:val="00274778"/>
    <w:rsid w:val="0027482B"/>
    <w:rsid w:val="00276A07"/>
    <w:rsid w:val="00277F23"/>
    <w:rsid w:val="00280C80"/>
    <w:rsid w:val="00281E9B"/>
    <w:rsid w:val="002842E3"/>
    <w:rsid w:val="002914B8"/>
    <w:rsid w:val="0029306A"/>
    <w:rsid w:val="00293364"/>
    <w:rsid w:val="0029339D"/>
    <w:rsid w:val="00294B39"/>
    <w:rsid w:val="0029553B"/>
    <w:rsid w:val="002A23FE"/>
    <w:rsid w:val="002A31B6"/>
    <w:rsid w:val="002A36C9"/>
    <w:rsid w:val="002A6824"/>
    <w:rsid w:val="002B4436"/>
    <w:rsid w:val="002B5641"/>
    <w:rsid w:val="002C6A58"/>
    <w:rsid w:val="002D004D"/>
    <w:rsid w:val="002D278F"/>
    <w:rsid w:val="002D32BA"/>
    <w:rsid w:val="002E1045"/>
    <w:rsid w:val="002E2981"/>
    <w:rsid w:val="002E3DA8"/>
    <w:rsid w:val="002E5B2C"/>
    <w:rsid w:val="002F2156"/>
    <w:rsid w:val="002F2680"/>
    <w:rsid w:val="002F44FC"/>
    <w:rsid w:val="00304AC7"/>
    <w:rsid w:val="00305170"/>
    <w:rsid w:val="00307E40"/>
    <w:rsid w:val="003121AB"/>
    <w:rsid w:val="00314AEA"/>
    <w:rsid w:val="00317A96"/>
    <w:rsid w:val="00321D00"/>
    <w:rsid w:val="00321F41"/>
    <w:rsid w:val="00326BEB"/>
    <w:rsid w:val="003325D5"/>
    <w:rsid w:val="00337FF6"/>
    <w:rsid w:val="00341542"/>
    <w:rsid w:val="00346205"/>
    <w:rsid w:val="003509A8"/>
    <w:rsid w:val="003520EA"/>
    <w:rsid w:val="003530CE"/>
    <w:rsid w:val="00353758"/>
    <w:rsid w:val="00363029"/>
    <w:rsid w:val="0037098E"/>
    <w:rsid w:val="00372E07"/>
    <w:rsid w:val="003776A7"/>
    <w:rsid w:val="00383F9B"/>
    <w:rsid w:val="00394A62"/>
    <w:rsid w:val="003A05DE"/>
    <w:rsid w:val="003A19F5"/>
    <w:rsid w:val="003A47CD"/>
    <w:rsid w:val="003A5A5A"/>
    <w:rsid w:val="003A5C44"/>
    <w:rsid w:val="003B4E40"/>
    <w:rsid w:val="003C2413"/>
    <w:rsid w:val="003C3293"/>
    <w:rsid w:val="003C3822"/>
    <w:rsid w:val="003C5E88"/>
    <w:rsid w:val="003D2851"/>
    <w:rsid w:val="003D4809"/>
    <w:rsid w:val="003D77B3"/>
    <w:rsid w:val="003D7CFC"/>
    <w:rsid w:val="003E053A"/>
    <w:rsid w:val="003E0601"/>
    <w:rsid w:val="003E2A39"/>
    <w:rsid w:val="003E36B7"/>
    <w:rsid w:val="003F459B"/>
    <w:rsid w:val="003F49DB"/>
    <w:rsid w:val="004019D0"/>
    <w:rsid w:val="004067FD"/>
    <w:rsid w:val="00411388"/>
    <w:rsid w:val="00411D7F"/>
    <w:rsid w:val="0041340D"/>
    <w:rsid w:val="004160D2"/>
    <w:rsid w:val="00420B79"/>
    <w:rsid w:val="00420EA0"/>
    <w:rsid w:val="00421E32"/>
    <w:rsid w:val="00422A95"/>
    <w:rsid w:val="0042364D"/>
    <w:rsid w:val="00425368"/>
    <w:rsid w:val="00425F97"/>
    <w:rsid w:val="0042600B"/>
    <w:rsid w:val="004338B5"/>
    <w:rsid w:val="00434C62"/>
    <w:rsid w:val="00437F23"/>
    <w:rsid w:val="00440EBE"/>
    <w:rsid w:val="004413B1"/>
    <w:rsid w:val="004431C4"/>
    <w:rsid w:val="00444160"/>
    <w:rsid w:val="00445B3C"/>
    <w:rsid w:val="004547D2"/>
    <w:rsid w:val="00457058"/>
    <w:rsid w:val="00462A3F"/>
    <w:rsid w:val="00472129"/>
    <w:rsid w:val="00473F09"/>
    <w:rsid w:val="00474AC3"/>
    <w:rsid w:val="004814AE"/>
    <w:rsid w:val="00485279"/>
    <w:rsid w:val="00485E82"/>
    <w:rsid w:val="00485FFD"/>
    <w:rsid w:val="00493ADF"/>
    <w:rsid w:val="004A1A45"/>
    <w:rsid w:val="004A3F94"/>
    <w:rsid w:val="004A47D4"/>
    <w:rsid w:val="004A6A9C"/>
    <w:rsid w:val="004A76BC"/>
    <w:rsid w:val="004A76CD"/>
    <w:rsid w:val="004B2594"/>
    <w:rsid w:val="004B3123"/>
    <w:rsid w:val="004B7F55"/>
    <w:rsid w:val="004C2C12"/>
    <w:rsid w:val="004C4AAE"/>
    <w:rsid w:val="004D2A53"/>
    <w:rsid w:val="004E10D7"/>
    <w:rsid w:val="004E316F"/>
    <w:rsid w:val="004E3DAD"/>
    <w:rsid w:val="004E61CB"/>
    <w:rsid w:val="004F25F3"/>
    <w:rsid w:val="004F2CBD"/>
    <w:rsid w:val="004F5E1C"/>
    <w:rsid w:val="004F6813"/>
    <w:rsid w:val="004F7B3D"/>
    <w:rsid w:val="005006CB"/>
    <w:rsid w:val="005024AF"/>
    <w:rsid w:val="0051167C"/>
    <w:rsid w:val="00520D1F"/>
    <w:rsid w:val="0052117F"/>
    <w:rsid w:val="00522B5C"/>
    <w:rsid w:val="0052338F"/>
    <w:rsid w:val="005233DB"/>
    <w:rsid w:val="00523FC5"/>
    <w:rsid w:val="0052702E"/>
    <w:rsid w:val="0052749F"/>
    <w:rsid w:val="00527B51"/>
    <w:rsid w:val="005306A3"/>
    <w:rsid w:val="00530C0A"/>
    <w:rsid w:val="00540109"/>
    <w:rsid w:val="0054595E"/>
    <w:rsid w:val="0055310C"/>
    <w:rsid w:val="005550CC"/>
    <w:rsid w:val="00557569"/>
    <w:rsid w:val="00557CA3"/>
    <w:rsid w:val="0056094C"/>
    <w:rsid w:val="005617C4"/>
    <w:rsid w:val="0056514D"/>
    <w:rsid w:val="005733F0"/>
    <w:rsid w:val="0057567B"/>
    <w:rsid w:val="005821FC"/>
    <w:rsid w:val="00582D35"/>
    <w:rsid w:val="00585FF4"/>
    <w:rsid w:val="005A1333"/>
    <w:rsid w:val="005A2B48"/>
    <w:rsid w:val="005A51DC"/>
    <w:rsid w:val="005B13EC"/>
    <w:rsid w:val="005B14E9"/>
    <w:rsid w:val="005B1563"/>
    <w:rsid w:val="005B58DA"/>
    <w:rsid w:val="005B6234"/>
    <w:rsid w:val="005B778F"/>
    <w:rsid w:val="005C0EB7"/>
    <w:rsid w:val="005C11A0"/>
    <w:rsid w:val="005C1444"/>
    <w:rsid w:val="005C5C8E"/>
    <w:rsid w:val="005D06B0"/>
    <w:rsid w:val="005D4E49"/>
    <w:rsid w:val="005D5D99"/>
    <w:rsid w:val="005D5EE5"/>
    <w:rsid w:val="005E0FFB"/>
    <w:rsid w:val="005E180B"/>
    <w:rsid w:val="005E6D67"/>
    <w:rsid w:val="005F2C57"/>
    <w:rsid w:val="005F5085"/>
    <w:rsid w:val="005F5C57"/>
    <w:rsid w:val="005F676B"/>
    <w:rsid w:val="005F7E9A"/>
    <w:rsid w:val="00600758"/>
    <w:rsid w:val="006022D5"/>
    <w:rsid w:val="00602A2E"/>
    <w:rsid w:val="006035D3"/>
    <w:rsid w:val="00612387"/>
    <w:rsid w:val="00612637"/>
    <w:rsid w:val="00614F42"/>
    <w:rsid w:val="00616009"/>
    <w:rsid w:val="00621EDA"/>
    <w:rsid w:val="00622B4E"/>
    <w:rsid w:val="00623AFF"/>
    <w:rsid w:val="00624A46"/>
    <w:rsid w:val="00630785"/>
    <w:rsid w:val="00632B5F"/>
    <w:rsid w:val="00632B8D"/>
    <w:rsid w:val="00640017"/>
    <w:rsid w:val="0064163F"/>
    <w:rsid w:val="00642BA5"/>
    <w:rsid w:val="00643C72"/>
    <w:rsid w:val="006444AC"/>
    <w:rsid w:val="00647B29"/>
    <w:rsid w:val="00654BA1"/>
    <w:rsid w:val="0066237D"/>
    <w:rsid w:val="00663CA9"/>
    <w:rsid w:val="006706D5"/>
    <w:rsid w:val="00672817"/>
    <w:rsid w:val="00673735"/>
    <w:rsid w:val="00681388"/>
    <w:rsid w:val="00681B9D"/>
    <w:rsid w:val="00683117"/>
    <w:rsid w:val="006834C2"/>
    <w:rsid w:val="00691061"/>
    <w:rsid w:val="00691383"/>
    <w:rsid w:val="00691FDC"/>
    <w:rsid w:val="0069392C"/>
    <w:rsid w:val="00694F56"/>
    <w:rsid w:val="00695F19"/>
    <w:rsid w:val="00696F86"/>
    <w:rsid w:val="006A00EE"/>
    <w:rsid w:val="006A034D"/>
    <w:rsid w:val="006A0644"/>
    <w:rsid w:val="006A0CF2"/>
    <w:rsid w:val="006A2322"/>
    <w:rsid w:val="006A3FDE"/>
    <w:rsid w:val="006A4B1C"/>
    <w:rsid w:val="006B6BD7"/>
    <w:rsid w:val="006D17CC"/>
    <w:rsid w:val="006D62A7"/>
    <w:rsid w:val="006D7E3D"/>
    <w:rsid w:val="006E265B"/>
    <w:rsid w:val="006F22D7"/>
    <w:rsid w:val="006F49DB"/>
    <w:rsid w:val="00700755"/>
    <w:rsid w:val="00702202"/>
    <w:rsid w:val="007047A8"/>
    <w:rsid w:val="00706DBB"/>
    <w:rsid w:val="00710357"/>
    <w:rsid w:val="0072145C"/>
    <w:rsid w:val="00721480"/>
    <w:rsid w:val="00726679"/>
    <w:rsid w:val="0073107C"/>
    <w:rsid w:val="007338E8"/>
    <w:rsid w:val="00734BDA"/>
    <w:rsid w:val="00735091"/>
    <w:rsid w:val="007431A4"/>
    <w:rsid w:val="00745B91"/>
    <w:rsid w:val="0074664C"/>
    <w:rsid w:val="00747405"/>
    <w:rsid w:val="00752BBF"/>
    <w:rsid w:val="007601C0"/>
    <w:rsid w:val="00762E77"/>
    <w:rsid w:val="00765253"/>
    <w:rsid w:val="00772E91"/>
    <w:rsid w:val="00775810"/>
    <w:rsid w:val="00776412"/>
    <w:rsid w:val="007776B8"/>
    <w:rsid w:val="007812A6"/>
    <w:rsid w:val="007841BD"/>
    <w:rsid w:val="00793112"/>
    <w:rsid w:val="007934FE"/>
    <w:rsid w:val="007A1146"/>
    <w:rsid w:val="007A1676"/>
    <w:rsid w:val="007A3B2B"/>
    <w:rsid w:val="007A4AC4"/>
    <w:rsid w:val="007B149A"/>
    <w:rsid w:val="007B3C7F"/>
    <w:rsid w:val="007B7D81"/>
    <w:rsid w:val="007C06E7"/>
    <w:rsid w:val="007C4A2A"/>
    <w:rsid w:val="007E52D9"/>
    <w:rsid w:val="007E53AC"/>
    <w:rsid w:val="007E5EA6"/>
    <w:rsid w:val="007E5F4D"/>
    <w:rsid w:val="007E7D16"/>
    <w:rsid w:val="007F2360"/>
    <w:rsid w:val="007F296E"/>
    <w:rsid w:val="007F557A"/>
    <w:rsid w:val="008000DD"/>
    <w:rsid w:val="00800916"/>
    <w:rsid w:val="00807506"/>
    <w:rsid w:val="00807A54"/>
    <w:rsid w:val="00813087"/>
    <w:rsid w:val="00813719"/>
    <w:rsid w:val="00813CAC"/>
    <w:rsid w:val="00821F06"/>
    <w:rsid w:val="0082260C"/>
    <w:rsid w:val="00825C80"/>
    <w:rsid w:val="00826745"/>
    <w:rsid w:val="00827EBB"/>
    <w:rsid w:val="008318FB"/>
    <w:rsid w:val="00832B80"/>
    <w:rsid w:val="00833DFB"/>
    <w:rsid w:val="00834707"/>
    <w:rsid w:val="008356EA"/>
    <w:rsid w:val="00835A66"/>
    <w:rsid w:val="00836761"/>
    <w:rsid w:val="00836E80"/>
    <w:rsid w:val="0084336E"/>
    <w:rsid w:val="00843564"/>
    <w:rsid w:val="00851AFA"/>
    <w:rsid w:val="00855572"/>
    <w:rsid w:val="00865EF9"/>
    <w:rsid w:val="00867291"/>
    <w:rsid w:val="00871A46"/>
    <w:rsid w:val="00874893"/>
    <w:rsid w:val="00875775"/>
    <w:rsid w:val="0087678C"/>
    <w:rsid w:val="008801D2"/>
    <w:rsid w:val="0088177D"/>
    <w:rsid w:val="00885771"/>
    <w:rsid w:val="00890209"/>
    <w:rsid w:val="0089269A"/>
    <w:rsid w:val="008A2A42"/>
    <w:rsid w:val="008A301A"/>
    <w:rsid w:val="008A3931"/>
    <w:rsid w:val="008A43E6"/>
    <w:rsid w:val="008B1585"/>
    <w:rsid w:val="008B4C89"/>
    <w:rsid w:val="008C6D29"/>
    <w:rsid w:val="008D44FC"/>
    <w:rsid w:val="008D587A"/>
    <w:rsid w:val="008D6D34"/>
    <w:rsid w:val="008D74D5"/>
    <w:rsid w:val="008E1C2D"/>
    <w:rsid w:val="008E45A3"/>
    <w:rsid w:val="008E71DA"/>
    <w:rsid w:val="008E79CB"/>
    <w:rsid w:val="008F0FDF"/>
    <w:rsid w:val="008F1CC6"/>
    <w:rsid w:val="008F3A80"/>
    <w:rsid w:val="008F3A9A"/>
    <w:rsid w:val="008F49B5"/>
    <w:rsid w:val="008F548A"/>
    <w:rsid w:val="00900D64"/>
    <w:rsid w:val="00902EED"/>
    <w:rsid w:val="009103A9"/>
    <w:rsid w:val="00914705"/>
    <w:rsid w:val="00914B9C"/>
    <w:rsid w:val="00914BE6"/>
    <w:rsid w:val="00914C16"/>
    <w:rsid w:val="00915F35"/>
    <w:rsid w:val="00916EE7"/>
    <w:rsid w:val="00920C3D"/>
    <w:rsid w:val="009267FA"/>
    <w:rsid w:val="00926802"/>
    <w:rsid w:val="00930075"/>
    <w:rsid w:val="00931218"/>
    <w:rsid w:val="00932869"/>
    <w:rsid w:val="00934CF0"/>
    <w:rsid w:val="00935349"/>
    <w:rsid w:val="009362F9"/>
    <w:rsid w:val="00943840"/>
    <w:rsid w:val="00945320"/>
    <w:rsid w:val="0094643F"/>
    <w:rsid w:val="00946D6A"/>
    <w:rsid w:val="00947862"/>
    <w:rsid w:val="00952E98"/>
    <w:rsid w:val="0095611C"/>
    <w:rsid w:val="009663FF"/>
    <w:rsid w:val="0097065A"/>
    <w:rsid w:val="00971C78"/>
    <w:rsid w:val="00974327"/>
    <w:rsid w:val="00977E19"/>
    <w:rsid w:val="009829CF"/>
    <w:rsid w:val="00982DD6"/>
    <w:rsid w:val="009847BC"/>
    <w:rsid w:val="00984A59"/>
    <w:rsid w:val="00984E3C"/>
    <w:rsid w:val="009858D1"/>
    <w:rsid w:val="0099191A"/>
    <w:rsid w:val="00993C95"/>
    <w:rsid w:val="00994845"/>
    <w:rsid w:val="009A06BE"/>
    <w:rsid w:val="009A34C2"/>
    <w:rsid w:val="009B0EBA"/>
    <w:rsid w:val="009B3A0F"/>
    <w:rsid w:val="009B4288"/>
    <w:rsid w:val="009C1E06"/>
    <w:rsid w:val="009C1F1C"/>
    <w:rsid w:val="009C5E1D"/>
    <w:rsid w:val="009D0AAC"/>
    <w:rsid w:val="009D455D"/>
    <w:rsid w:val="009E1987"/>
    <w:rsid w:val="009E4C9A"/>
    <w:rsid w:val="009E585D"/>
    <w:rsid w:val="009E5A27"/>
    <w:rsid w:val="009E790E"/>
    <w:rsid w:val="009F4DDD"/>
    <w:rsid w:val="009F7B3D"/>
    <w:rsid w:val="00A0139F"/>
    <w:rsid w:val="00A02AC5"/>
    <w:rsid w:val="00A11AC5"/>
    <w:rsid w:val="00A17694"/>
    <w:rsid w:val="00A2045B"/>
    <w:rsid w:val="00A216A0"/>
    <w:rsid w:val="00A23168"/>
    <w:rsid w:val="00A34B4E"/>
    <w:rsid w:val="00A35267"/>
    <w:rsid w:val="00A36AC8"/>
    <w:rsid w:val="00A42473"/>
    <w:rsid w:val="00A529F7"/>
    <w:rsid w:val="00A57B3A"/>
    <w:rsid w:val="00A57F61"/>
    <w:rsid w:val="00A6005F"/>
    <w:rsid w:val="00A620CF"/>
    <w:rsid w:val="00A6501D"/>
    <w:rsid w:val="00A665A9"/>
    <w:rsid w:val="00A71BE4"/>
    <w:rsid w:val="00A74C05"/>
    <w:rsid w:val="00A74C0E"/>
    <w:rsid w:val="00A74FB9"/>
    <w:rsid w:val="00A819A6"/>
    <w:rsid w:val="00A82F1F"/>
    <w:rsid w:val="00A83E65"/>
    <w:rsid w:val="00A83FC8"/>
    <w:rsid w:val="00A85935"/>
    <w:rsid w:val="00A940CC"/>
    <w:rsid w:val="00A97601"/>
    <w:rsid w:val="00AA00F2"/>
    <w:rsid w:val="00AA3469"/>
    <w:rsid w:val="00AA46C5"/>
    <w:rsid w:val="00AA4E9A"/>
    <w:rsid w:val="00AA5E92"/>
    <w:rsid w:val="00AC0B6E"/>
    <w:rsid w:val="00AC36EB"/>
    <w:rsid w:val="00AC4382"/>
    <w:rsid w:val="00AC4DB5"/>
    <w:rsid w:val="00AD3100"/>
    <w:rsid w:val="00AD3252"/>
    <w:rsid w:val="00AD512A"/>
    <w:rsid w:val="00AD59AA"/>
    <w:rsid w:val="00AD6FF8"/>
    <w:rsid w:val="00AE0975"/>
    <w:rsid w:val="00AE3C2B"/>
    <w:rsid w:val="00AF23B2"/>
    <w:rsid w:val="00AF3AF5"/>
    <w:rsid w:val="00AF3C05"/>
    <w:rsid w:val="00B00BF7"/>
    <w:rsid w:val="00B021DB"/>
    <w:rsid w:val="00B0367A"/>
    <w:rsid w:val="00B055E0"/>
    <w:rsid w:val="00B12923"/>
    <w:rsid w:val="00B138F2"/>
    <w:rsid w:val="00B22E5A"/>
    <w:rsid w:val="00B26225"/>
    <w:rsid w:val="00B27894"/>
    <w:rsid w:val="00B31372"/>
    <w:rsid w:val="00B3144B"/>
    <w:rsid w:val="00B34DD3"/>
    <w:rsid w:val="00B3736D"/>
    <w:rsid w:val="00B41706"/>
    <w:rsid w:val="00B53E49"/>
    <w:rsid w:val="00B54B77"/>
    <w:rsid w:val="00B634C8"/>
    <w:rsid w:val="00B706FA"/>
    <w:rsid w:val="00B708BA"/>
    <w:rsid w:val="00B70938"/>
    <w:rsid w:val="00B713D1"/>
    <w:rsid w:val="00B761B7"/>
    <w:rsid w:val="00B85C71"/>
    <w:rsid w:val="00B90BE2"/>
    <w:rsid w:val="00B914D0"/>
    <w:rsid w:val="00B91665"/>
    <w:rsid w:val="00B92634"/>
    <w:rsid w:val="00B952CC"/>
    <w:rsid w:val="00BA0535"/>
    <w:rsid w:val="00BA32BD"/>
    <w:rsid w:val="00BA4BB8"/>
    <w:rsid w:val="00BA4D93"/>
    <w:rsid w:val="00BA50A8"/>
    <w:rsid w:val="00BB3516"/>
    <w:rsid w:val="00BD0D2A"/>
    <w:rsid w:val="00BD50BF"/>
    <w:rsid w:val="00BD50CA"/>
    <w:rsid w:val="00BD6F8F"/>
    <w:rsid w:val="00BE153B"/>
    <w:rsid w:val="00BE2804"/>
    <w:rsid w:val="00BE460B"/>
    <w:rsid w:val="00BE473C"/>
    <w:rsid w:val="00BF07F8"/>
    <w:rsid w:val="00BF2407"/>
    <w:rsid w:val="00BF36C9"/>
    <w:rsid w:val="00BF59D3"/>
    <w:rsid w:val="00BF5D88"/>
    <w:rsid w:val="00BF79A4"/>
    <w:rsid w:val="00C02156"/>
    <w:rsid w:val="00C04631"/>
    <w:rsid w:val="00C0587E"/>
    <w:rsid w:val="00C05EFD"/>
    <w:rsid w:val="00C10BF8"/>
    <w:rsid w:val="00C132D6"/>
    <w:rsid w:val="00C13EB1"/>
    <w:rsid w:val="00C15BB7"/>
    <w:rsid w:val="00C20D00"/>
    <w:rsid w:val="00C24F74"/>
    <w:rsid w:val="00C269EE"/>
    <w:rsid w:val="00C27B5E"/>
    <w:rsid w:val="00C34350"/>
    <w:rsid w:val="00C36E50"/>
    <w:rsid w:val="00C372D9"/>
    <w:rsid w:val="00C377CF"/>
    <w:rsid w:val="00C41114"/>
    <w:rsid w:val="00C46B58"/>
    <w:rsid w:val="00C52CE1"/>
    <w:rsid w:val="00C53EB9"/>
    <w:rsid w:val="00C63603"/>
    <w:rsid w:val="00C64520"/>
    <w:rsid w:val="00C80181"/>
    <w:rsid w:val="00C80652"/>
    <w:rsid w:val="00C826BF"/>
    <w:rsid w:val="00C833A4"/>
    <w:rsid w:val="00C83F42"/>
    <w:rsid w:val="00C91053"/>
    <w:rsid w:val="00C9325B"/>
    <w:rsid w:val="00CA22D5"/>
    <w:rsid w:val="00CA33F1"/>
    <w:rsid w:val="00CA56A7"/>
    <w:rsid w:val="00CB0A79"/>
    <w:rsid w:val="00CB3CD5"/>
    <w:rsid w:val="00CC1CE7"/>
    <w:rsid w:val="00CC45BB"/>
    <w:rsid w:val="00CC6C94"/>
    <w:rsid w:val="00CD60CE"/>
    <w:rsid w:val="00CE3693"/>
    <w:rsid w:val="00CE404C"/>
    <w:rsid w:val="00CE722A"/>
    <w:rsid w:val="00CE756C"/>
    <w:rsid w:val="00CE7B36"/>
    <w:rsid w:val="00CF26E0"/>
    <w:rsid w:val="00CF6C5F"/>
    <w:rsid w:val="00D0282B"/>
    <w:rsid w:val="00D04B0C"/>
    <w:rsid w:val="00D052A4"/>
    <w:rsid w:val="00D12214"/>
    <w:rsid w:val="00D12483"/>
    <w:rsid w:val="00D155A1"/>
    <w:rsid w:val="00D20693"/>
    <w:rsid w:val="00D209D6"/>
    <w:rsid w:val="00D2266B"/>
    <w:rsid w:val="00D23B1A"/>
    <w:rsid w:val="00D24BC7"/>
    <w:rsid w:val="00D3064F"/>
    <w:rsid w:val="00D307F1"/>
    <w:rsid w:val="00D35974"/>
    <w:rsid w:val="00D4261B"/>
    <w:rsid w:val="00D465E6"/>
    <w:rsid w:val="00D53E17"/>
    <w:rsid w:val="00D54012"/>
    <w:rsid w:val="00D542C4"/>
    <w:rsid w:val="00D550E2"/>
    <w:rsid w:val="00D558C2"/>
    <w:rsid w:val="00D5671F"/>
    <w:rsid w:val="00D56C9E"/>
    <w:rsid w:val="00D624E5"/>
    <w:rsid w:val="00D65D32"/>
    <w:rsid w:val="00D67258"/>
    <w:rsid w:val="00D7060F"/>
    <w:rsid w:val="00D71DD2"/>
    <w:rsid w:val="00D82EE9"/>
    <w:rsid w:val="00D911AA"/>
    <w:rsid w:val="00D94430"/>
    <w:rsid w:val="00D94713"/>
    <w:rsid w:val="00DA3D36"/>
    <w:rsid w:val="00DB343C"/>
    <w:rsid w:val="00DB4B08"/>
    <w:rsid w:val="00DB563C"/>
    <w:rsid w:val="00DB5657"/>
    <w:rsid w:val="00DC007E"/>
    <w:rsid w:val="00DC0E0D"/>
    <w:rsid w:val="00DC4426"/>
    <w:rsid w:val="00DC53D5"/>
    <w:rsid w:val="00DC7E16"/>
    <w:rsid w:val="00DD2C11"/>
    <w:rsid w:val="00DD3784"/>
    <w:rsid w:val="00DD453D"/>
    <w:rsid w:val="00DE1580"/>
    <w:rsid w:val="00DE4E64"/>
    <w:rsid w:val="00DF2EF7"/>
    <w:rsid w:val="00E005F1"/>
    <w:rsid w:val="00E00E8E"/>
    <w:rsid w:val="00E07A69"/>
    <w:rsid w:val="00E11A68"/>
    <w:rsid w:val="00E13060"/>
    <w:rsid w:val="00E160E5"/>
    <w:rsid w:val="00E1741A"/>
    <w:rsid w:val="00E17A76"/>
    <w:rsid w:val="00E25756"/>
    <w:rsid w:val="00E27524"/>
    <w:rsid w:val="00E305CC"/>
    <w:rsid w:val="00E32CB7"/>
    <w:rsid w:val="00E35B1C"/>
    <w:rsid w:val="00E41680"/>
    <w:rsid w:val="00E4684D"/>
    <w:rsid w:val="00E471A6"/>
    <w:rsid w:val="00E50925"/>
    <w:rsid w:val="00E523A5"/>
    <w:rsid w:val="00E538F5"/>
    <w:rsid w:val="00E5446A"/>
    <w:rsid w:val="00E60302"/>
    <w:rsid w:val="00E632CF"/>
    <w:rsid w:val="00E6439D"/>
    <w:rsid w:val="00E65689"/>
    <w:rsid w:val="00E70896"/>
    <w:rsid w:val="00E71786"/>
    <w:rsid w:val="00E73568"/>
    <w:rsid w:val="00E73DDE"/>
    <w:rsid w:val="00E9572F"/>
    <w:rsid w:val="00E9687F"/>
    <w:rsid w:val="00E97B19"/>
    <w:rsid w:val="00EB1FF6"/>
    <w:rsid w:val="00EC1998"/>
    <w:rsid w:val="00ED2E1E"/>
    <w:rsid w:val="00ED5D32"/>
    <w:rsid w:val="00EE255B"/>
    <w:rsid w:val="00EE4912"/>
    <w:rsid w:val="00EE5B58"/>
    <w:rsid w:val="00EE6495"/>
    <w:rsid w:val="00EE6F81"/>
    <w:rsid w:val="00EF1EE9"/>
    <w:rsid w:val="00EF4431"/>
    <w:rsid w:val="00EF5F6F"/>
    <w:rsid w:val="00F00F7E"/>
    <w:rsid w:val="00F01571"/>
    <w:rsid w:val="00F05663"/>
    <w:rsid w:val="00F10981"/>
    <w:rsid w:val="00F11D97"/>
    <w:rsid w:val="00F159A0"/>
    <w:rsid w:val="00F21509"/>
    <w:rsid w:val="00F229D0"/>
    <w:rsid w:val="00F24D82"/>
    <w:rsid w:val="00F27027"/>
    <w:rsid w:val="00F307AC"/>
    <w:rsid w:val="00F3461B"/>
    <w:rsid w:val="00F365E2"/>
    <w:rsid w:val="00F41D3C"/>
    <w:rsid w:val="00F47AE6"/>
    <w:rsid w:val="00F51B36"/>
    <w:rsid w:val="00F5282E"/>
    <w:rsid w:val="00F52EEC"/>
    <w:rsid w:val="00F565BE"/>
    <w:rsid w:val="00F6456C"/>
    <w:rsid w:val="00F715F7"/>
    <w:rsid w:val="00F826BB"/>
    <w:rsid w:val="00F84F00"/>
    <w:rsid w:val="00F94F47"/>
    <w:rsid w:val="00F96138"/>
    <w:rsid w:val="00F97E1C"/>
    <w:rsid w:val="00FA3C90"/>
    <w:rsid w:val="00FA5ECD"/>
    <w:rsid w:val="00FB2A46"/>
    <w:rsid w:val="00FB7F5F"/>
    <w:rsid w:val="00FC1BA2"/>
    <w:rsid w:val="00FC1CBD"/>
    <w:rsid w:val="00FC579D"/>
    <w:rsid w:val="00FD41D0"/>
    <w:rsid w:val="00FD6BB2"/>
    <w:rsid w:val="00FE1FDF"/>
    <w:rsid w:val="00FE4507"/>
    <w:rsid w:val="00FE467F"/>
    <w:rsid w:val="00FF1A7A"/>
    <w:rsid w:val="00FF5C16"/>
    <w:rsid w:val="00FF6DE9"/>
    <w:rsid w:val="00FF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F3CF7"/>
  <w15:docId w15:val="{335A5961-7A0D-41AD-B414-AA4C5631D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6A07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link w:val="Heading1Char"/>
    <w:uiPriority w:val="9"/>
    <w:qFormat/>
    <w:rsid w:val="00D911AA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016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45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D16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table" w:styleId="TableGrid">
    <w:name w:val="Table Grid"/>
    <w:basedOn w:val="TableNormal"/>
    <w:uiPriority w:val="59"/>
    <w:rsid w:val="002D3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F5E1C"/>
    <w:rPr>
      <w:rFonts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74664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160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7F557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6D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DAB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911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ub-date">
    <w:name w:val="pub-date"/>
    <w:basedOn w:val="DefaultParagraphFont"/>
    <w:rsid w:val="00D911AA"/>
  </w:style>
  <w:style w:type="character" w:customStyle="1" w:styleId="citation-volume-pages">
    <w:name w:val="citation-volume-pages"/>
    <w:basedOn w:val="DefaultParagraphFont"/>
    <w:rsid w:val="00CB0A79"/>
  </w:style>
  <w:style w:type="character" w:customStyle="1" w:styleId="title-text">
    <w:name w:val="title-text"/>
    <w:basedOn w:val="DefaultParagraphFont"/>
    <w:rsid w:val="00001613"/>
  </w:style>
  <w:style w:type="character" w:customStyle="1" w:styleId="Heading2Char">
    <w:name w:val="Heading 2 Char"/>
    <w:basedOn w:val="DefaultParagraphFont"/>
    <w:link w:val="Heading2"/>
    <w:uiPriority w:val="9"/>
    <w:rsid w:val="0000161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ize-xl">
    <w:name w:val="size-xl"/>
    <w:basedOn w:val="DefaultParagraphFont"/>
    <w:rsid w:val="00001613"/>
  </w:style>
  <w:style w:type="character" w:customStyle="1" w:styleId="size-m">
    <w:name w:val="size-m"/>
    <w:basedOn w:val="DefaultParagraphFont"/>
    <w:rsid w:val="00001613"/>
  </w:style>
  <w:style w:type="character" w:customStyle="1" w:styleId="highlight">
    <w:name w:val="highlight"/>
    <w:basedOn w:val="DefaultParagraphFont"/>
    <w:rsid w:val="00632B5F"/>
  </w:style>
  <w:style w:type="character" w:customStyle="1" w:styleId="text">
    <w:name w:val="text"/>
    <w:basedOn w:val="DefaultParagraphFont"/>
    <w:rsid w:val="004A76BC"/>
  </w:style>
  <w:style w:type="character" w:customStyle="1" w:styleId="Heading3Char">
    <w:name w:val="Heading 3 Char"/>
    <w:basedOn w:val="DefaultParagraphFont"/>
    <w:link w:val="Heading3"/>
    <w:uiPriority w:val="9"/>
    <w:semiHidden/>
    <w:rsid w:val="009D455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Pa2">
    <w:name w:val="Pa2"/>
    <w:basedOn w:val="Normal"/>
    <w:next w:val="Normal"/>
    <w:uiPriority w:val="99"/>
    <w:rsid w:val="004413B1"/>
    <w:pPr>
      <w:autoSpaceDE w:val="0"/>
      <w:autoSpaceDN w:val="0"/>
      <w:adjustRightInd w:val="0"/>
      <w:spacing w:line="221" w:lineRule="atLeast"/>
    </w:pPr>
    <w:rPr>
      <w:rFonts w:ascii="Univers 45 Light" w:hAnsi="Univers 45 Light"/>
      <w:szCs w:val="24"/>
    </w:rPr>
  </w:style>
  <w:style w:type="character" w:customStyle="1" w:styleId="A4">
    <w:name w:val="A4"/>
    <w:uiPriority w:val="99"/>
    <w:rsid w:val="004413B1"/>
    <w:rPr>
      <w:rFonts w:cs="Univers 45 Light"/>
      <w:color w:val="000000"/>
      <w:sz w:val="16"/>
      <w:szCs w:val="16"/>
    </w:rPr>
  </w:style>
  <w:style w:type="character" w:styleId="Strong">
    <w:name w:val="Strong"/>
    <w:basedOn w:val="DefaultParagraphFont"/>
    <w:uiPriority w:val="22"/>
    <w:qFormat/>
    <w:rsid w:val="0072145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4134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085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339058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861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3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665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1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13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86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6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imss.org/library/patient-engagement-toolkit" TargetMode="External"/><Relationship Id="rId13" Type="http://schemas.openxmlformats.org/officeDocument/2006/relationships/hyperlink" Target="https://www.healthit.gov/playbook/pe/guide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patientengagementhit.com/features/how-will-macra-impact-patient-engagement-care-coordination" TargetMode="External"/><Relationship Id="rId17" Type="http://schemas.openxmlformats.org/officeDocument/2006/relationships/hyperlink" Target="https://www.healthit.gov/providers-professionals/your-mobile-device-and-health-information-privacy-and-securit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healthit.gov/sites/default/files/rti_pghd_whitepaper_april_2012.pd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cms.gov/Regulations-and-Guidance/Legislation/EHRIncentivePrograms/Stage3Medicaid_Require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healthaffairs.org/doi/abs/10.1377/hlthaff.2012.1133?url_ver=Z39.88-2003&amp;rfr_id=ori%3Arid%3Acrossref.org&amp;rfr_dat=cr_pub%3Dpubmed" TargetMode="External"/><Relationship Id="rId10" Type="http://schemas.openxmlformats.org/officeDocument/2006/relationships/hyperlink" Target="http://www.cms.gov/Regulations-and-Guidance/Legislation/EHRIncentivePrograms/downloads/Stage2_EPCore_17_UseSecureElectronicMessaging.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cms.gov/Regulations-and-Guidance/Legislation/EHRIncentivePrograms/downloads/Stage2_EPCore_7_PatientElectronicAccess.pdf" TargetMode="External"/><Relationship Id="rId14" Type="http://schemas.openxmlformats.org/officeDocument/2006/relationships/hyperlink" Target="https://doi.org/10.1016/j.amepre.2011.01.0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611219E-F8C6-4BCB-BE88-B5880A478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1651</Words>
  <Characters>9413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J Brixey</dc:creator>
  <cp:keywords/>
  <dc:description/>
  <cp:lastModifiedBy>Kosi Ozurumba</cp:lastModifiedBy>
  <cp:revision>2</cp:revision>
  <dcterms:created xsi:type="dcterms:W3CDTF">2020-10-07T20:23:00Z</dcterms:created>
  <dcterms:modified xsi:type="dcterms:W3CDTF">2020-10-07T20:23:00Z</dcterms:modified>
</cp:coreProperties>
</file>