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ITC/LTD Introduction</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ITC Limited entered the business world as Imperial Tobacco Company of India Limited on August 10, 1910. At this time the company was jointly owned by Indian and U.K investors. It was one of the world’s leading producers of tobacco and tobacco products. It was one of the world’s leading producers of tobacco and tobacco products. </w:t>
      </w:r>
    </w:p>
    <w:p>
      <w:pPr>
        <w:spacing w:before="0" w:after="20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The major weakness for the company is that the majority of their business and profits come from the tobacco industry which is being heavily scrutinized around the world. Taxes are  raised higher and higher on the industry and this is causing the company to raise prices or keep prices the same and reduce their profits. This industry is also being seen in a more negative light and this is going to hurt ITC LTD in the future. As an organization ITC Limited exhibits many positive attributes. These strengths will allow ITC continued growth. The first notable strength that ITC exhibits is the ability to look forward when creating corporate strategies. </w:t>
      </w:r>
    </w:p>
    <w:p>
      <w:pPr>
        <w:spacing w:before="0" w:after="20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 xml:space="preserve">Corporate responsibility is simply a way for companies to take responsibility for the social and environmental impacts of their business operations.</w:t>
      </w:r>
    </w:p>
    <w:p>
      <w:pPr>
        <w:spacing w:before="0" w:after="200" w:line="276"/>
        <w:ind w:right="0" w:left="0" w:firstLine="0"/>
        <w:jc w:val="center"/>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