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C1E" w:rsidRDefault="007D5C1E" w:rsidP="007D5C1E">
      <w:pPr>
        <w:pStyle w:val="NormalWeb"/>
        <w:spacing w:before="0" w:beforeAutospacing="0" w:after="0" w:afterAutospacing="0"/>
        <w:textAlignment w:val="baseline"/>
        <w:rPr>
          <w:rFonts w:ascii="Helvetica" w:hAnsi="Helvetica" w:cs="Helvetica"/>
          <w:color w:val="3D3D3D"/>
          <w:sz w:val="21"/>
          <w:szCs w:val="21"/>
        </w:rPr>
      </w:pPr>
      <w:r>
        <w:rPr>
          <w:rFonts w:ascii="Helvetica" w:hAnsi="Helvetica" w:cs="Helvetica"/>
          <w:color w:val="3D3D3D"/>
          <w:sz w:val="21"/>
          <w:szCs w:val="21"/>
        </w:rPr>
        <w:t>5. First, the Health care providers, Health care facilities and Laboratories would straightway notify the local health jurisdiction, which would enable isolation for suspected. Local health jurisdictions: would promptly notify to Department of Health (DOH) Communicable Disease Epidemiology (CDE) for further action.</w:t>
      </w:r>
    </w:p>
    <w:p w:rsidR="007D5C1E" w:rsidRDefault="007D5C1E" w:rsidP="007D5C1E">
      <w:pPr>
        <w:pStyle w:val="NormalWeb"/>
        <w:spacing w:before="0" w:beforeAutospacing="0" w:after="0" w:afterAutospacing="0"/>
        <w:textAlignment w:val="baseline"/>
        <w:rPr>
          <w:rFonts w:ascii="Helvetica" w:hAnsi="Helvetica" w:cs="Helvetica"/>
          <w:color w:val="3D3D3D"/>
          <w:sz w:val="21"/>
          <w:szCs w:val="21"/>
        </w:rPr>
      </w:pPr>
    </w:p>
    <w:p w:rsidR="007D5C1E" w:rsidRDefault="007D5C1E" w:rsidP="007D5C1E">
      <w:pPr>
        <w:pStyle w:val="NormalWeb"/>
        <w:spacing w:before="0" w:beforeAutospacing="0" w:after="0" w:afterAutospacing="0"/>
        <w:textAlignment w:val="baseline"/>
        <w:rPr>
          <w:rFonts w:ascii="Helvetica" w:hAnsi="Helvetica" w:cs="Helvetica"/>
          <w:color w:val="3D3D3D"/>
          <w:sz w:val="21"/>
          <w:szCs w:val="21"/>
        </w:rPr>
      </w:pPr>
      <w:r>
        <w:rPr>
          <w:rFonts w:ascii="Helvetica" w:hAnsi="Helvetica" w:cs="Helvetica"/>
          <w:color w:val="3D3D3D"/>
          <w:sz w:val="21"/>
          <w:szCs w:val="21"/>
        </w:rPr>
        <w:t xml:space="preserve">6. Respiratory secretions spread measles and pertussis (whooping cough). Because transmission does not require direct contact with an infected person, the spread of measles becomes worse than Ebola. On average about 12-14 people get affected by one case of </w:t>
      </w:r>
      <w:proofErr w:type="spellStart"/>
      <w:r>
        <w:rPr>
          <w:rFonts w:ascii="Helvetica" w:hAnsi="Helvetica" w:cs="Helvetica"/>
          <w:color w:val="3D3D3D"/>
          <w:sz w:val="21"/>
          <w:szCs w:val="21"/>
        </w:rPr>
        <w:t>ebola</w:t>
      </w:r>
      <w:proofErr w:type="spellEnd"/>
      <w:r>
        <w:rPr>
          <w:rFonts w:ascii="Helvetica" w:hAnsi="Helvetica" w:cs="Helvetica"/>
          <w:color w:val="3D3D3D"/>
          <w:sz w:val="21"/>
          <w:szCs w:val="21"/>
        </w:rPr>
        <w:t xml:space="preserve"> outbreak. In the case of Ebola a person becomes contagious once the symptoms appear while for measles one is contagious several days prior to showing of signs and symptoms.</w:t>
      </w:r>
    </w:p>
    <w:p w:rsidR="005310F8" w:rsidRDefault="005310F8">
      <w:bookmarkStart w:id="0" w:name="_GoBack"/>
      <w:bookmarkEnd w:id="0"/>
    </w:p>
    <w:sectPr w:rsidR="005310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C1E"/>
    <w:rsid w:val="005310F8"/>
    <w:rsid w:val="007D5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CE437E-786C-4D06-96D4-8FE50249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5C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56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pranika jain</dc:creator>
  <cp:keywords/>
  <dc:description/>
  <cp:lastModifiedBy>pranika jain</cp:lastModifiedBy>
  <cp:revision>1</cp:revision>
  <dcterms:created xsi:type="dcterms:W3CDTF">2018-03-08T03:47:00Z</dcterms:created>
  <dcterms:modified xsi:type="dcterms:W3CDTF">2018-03-08T03:47:00Z</dcterms:modified>
</cp:coreProperties>
</file>