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6DB" w:rsidRDefault="00E376DB" w:rsidP="00E376DB">
      <w:pPr>
        <w:pStyle w:val="NormalWeb"/>
        <w:shd w:val="clear" w:color="auto" w:fill="FFFFFF"/>
        <w:spacing w:before="240" w:beforeAutospacing="0" w:after="240" w:afterAutospacing="0"/>
        <w:ind w:left="360" w:right="1440"/>
        <w:rPr>
          <w:rFonts w:ascii="Verdana" w:hAnsi="Verdana"/>
          <w:b/>
          <w:color w:val="FF0000"/>
          <w:sz w:val="23"/>
          <w:szCs w:val="23"/>
          <w:u w:val="single"/>
        </w:rPr>
      </w:pPr>
      <w:bookmarkStart w:id="0" w:name="_GoBack"/>
      <w:bookmarkEnd w:id="0"/>
      <w:r>
        <w:rPr>
          <w:rFonts w:ascii="Verdana" w:hAnsi="Verdana"/>
          <w:b/>
          <w:color w:val="FF0000"/>
          <w:sz w:val="23"/>
          <w:szCs w:val="23"/>
          <w:u w:val="single"/>
        </w:rPr>
        <w:t>THIS WEEK’S(week 8) the link to help for the assignment:</w:t>
      </w:r>
    </w:p>
    <w:p w:rsidR="00E376DB" w:rsidRDefault="00E376DB" w:rsidP="00E376DB">
      <w:pPr>
        <w:pStyle w:val="NormalWeb"/>
        <w:shd w:val="clear" w:color="auto" w:fill="FFFFFF"/>
        <w:spacing w:before="240" w:beforeAutospacing="0" w:after="240" w:afterAutospacing="0"/>
        <w:ind w:left="360" w:right="1440"/>
        <w:rPr>
          <w:rFonts w:ascii="Verdana" w:hAnsi="Verdana"/>
          <w:b/>
          <w:color w:val="FF0000"/>
          <w:sz w:val="23"/>
          <w:szCs w:val="23"/>
          <w:u w:val="single"/>
        </w:rPr>
      </w:pPr>
      <w:hyperlink r:id="rId7" w:history="1">
        <w:r w:rsidRPr="00F40302">
          <w:rPr>
            <w:rStyle w:val="Hyperlink"/>
            <w:rFonts w:ascii="Verdana" w:hAnsi="Verdana"/>
            <w:b/>
            <w:sz w:val="23"/>
            <w:szCs w:val="23"/>
          </w:rPr>
          <w:t>http://thismatter.com/money/investments/portfolios.htm</w:t>
        </w:r>
      </w:hyperlink>
    </w:p>
    <w:p w:rsidR="00E376DB" w:rsidRPr="00777351" w:rsidRDefault="00E376DB" w:rsidP="00E376DB">
      <w:pPr>
        <w:pStyle w:val="NormalWeb"/>
        <w:shd w:val="clear" w:color="auto" w:fill="FFFFFF"/>
        <w:spacing w:before="240" w:beforeAutospacing="0" w:after="240" w:afterAutospacing="0"/>
        <w:ind w:left="360" w:right="1440"/>
        <w:rPr>
          <w:rFonts w:ascii="Verdana" w:hAnsi="Verdana"/>
          <w:b/>
          <w:color w:val="FF0000"/>
          <w:sz w:val="23"/>
          <w:szCs w:val="23"/>
          <w:u w:val="single"/>
        </w:rPr>
      </w:pPr>
      <w:r w:rsidRPr="00777351">
        <w:rPr>
          <w:rFonts w:ascii="Verdana" w:hAnsi="Verdana"/>
          <w:b/>
          <w:color w:val="FF0000"/>
          <w:sz w:val="23"/>
          <w:szCs w:val="23"/>
          <w:u w:val="single"/>
        </w:rPr>
        <w:t>Portfolio risks and returns</w:t>
      </w:r>
      <w:r>
        <w:rPr>
          <w:rFonts w:ascii="Verdana" w:hAnsi="Verdana"/>
          <w:b/>
          <w:color w:val="FF0000"/>
          <w:sz w:val="23"/>
          <w:szCs w:val="23"/>
          <w:u w:val="single"/>
        </w:rPr>
        <w:t>: coefficient and variations</w:t>
      </w:r>
    </w:p>
    <w:p w:rsidR="00E376DB" w:rsidRDefault="00E376DB" w:rsidP="00E376DB">
      <w:pPr>
        <w:pStyle w:val="NormalWeb"/>
        <w:shd w:val="clear" w:color="auto" w:fill="FFFFFF"/>
        <w:spacing w:before="240" w:beforeAutospacing="0" w:after="240" w:afterAutospacing="0"/>
        <w:ind w:left="360" w:right="1440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A</w:t>
      </w:r>
      <w:r>
        <w:rPr>
          <w:rStyle w:val="apple-converted-space"/>
          <w:rFonts w:ascii="Verdana" w:hAnsi="Verdana"/>
          <w:color w:val="000000"/>
          <w:sz w:val="23"/>
          <w:szCs w:val="23"/>
        </w:rPr>
        <w:t> </w:t>
      </w:r>
      <w:r>
        <w:rPr>
          <w:rFonts w:ascii="Arial Black" w:hAnsi="Arial Black"/>
          <w:b/>
          <w:bCs/>
          <w:color w:val="000000"/>
          <w:sz w:val="23"/>
          <w:szCs w:val="23"/>
        </w:rPr>
        <w:t>portfolio</w:t>
      </w:r>
      <w:r>
        <w:rPr>
          <w:rStyle w:val="apple-converted-space"/>
          <w:rFonts w:ascii="Verdana" w:hAnsi="Verdana"/>
          <w:color w:val="000000"/>
          <w:sz w:val="23"/>
          <w:szCs w:val="23"/>
        </w:rPr>
        <w:t> </w:t>
      </w:r>
      <w:r>
        <w:rPr>
          <w:rFonts w:ascii="Verdana" w:hAnsi="Verdana"/>
          <w:color w:val="000000"/>
          <w:sz w:val="23"/>
          <w:szCs w:val="23"/>
        </w:rPr>
        <w:t>is the total collection of all investments held by an individual or institution, including</w:t>
      </w:r>
      <w:r>
        <w:rPr>
          <w:rStyle w:val="apple-converted-space"/>
          <w:rFonts w:ascii="Verdana" w:hAnsi="Verdana"/>
          <w:color w:val="000000"/>
          <w:sz w:val="23"/>
          <w:szCs w:val="23"/>
        </w:rPr>
        <w:t> </w:t>
      </w:r>
      <w:hyperlink r:id="rId8" w:history="1">
        <w:r>
          <w:rPr>
            <w:rStyle w:val="Hyperlink"/>
            <w:rFonts w:ascii="Verdana" w:hAnsi="Verdana"/>
            <w:sz w:val="23"/>
            <w:szCs w:val="23"/>
          </w:rPr>
          <w:t>stocks</w:t>
        </w:r>
      </w:hyperlink>
      <w:r>
        <w:rPr>
          <w:rFonts w:ascii="Verdana" w:hAnsi="Verdana"/>
          <w:color w:val="000000"/>
          <w:sz w:val="23"/>
          <w:szCs w:val="23"/>
        </w:rPr>
        <w:t>,</w:t>
      </w:r>
      <w:r>
        <w:rPr>
          <w:rStyle w:val="apple-converted-space"/>
          <w:rFonts w:ascii="Verdana" w:hAnsi="Verdana"/>
          <w:color w:val="000000"/>
          <w:sz w:val="23"/>
          <w:szCs w:val="23"/>
        </w:rPr>
        <w:t> </w:t>
      </w:r>
      <w:hyperlink r:id="rId9" w:history="1">
        <w:r>
          <w:rPr>
            <w:rStyle w:val="Hyperlink"/>
            <w:rFonts w:ascii="Verdana" w:hAnsi="Verdana"/>
            <w:sz w:val="23"/>
            <w:szCs w:val="23"/>
          </w:rPr>
          <w:t>bonds</w:t>
        </w:r>
      </w:hyperlink>
      <w:r>
        <w:rPr>
          <w:rFonts w:ascii="Verdana" w:hAnsi="Verdana"/>
          <w:color w:val="000000"/>
          <w:sz w:val="23"/>
          <w:szCs w:val="23"/>
        </w:rPr>
        <w:t>, real estate,</w:t>
      </w:r>
      <w:r>
        <w:rPr>
          <w:rStyle w:val="apple-converted-space"/>
          <w:rFonts w:ascii="Verdana" w:hAnsi="Verdana"/>
          <w:color w:val="000000"/>
          <w:sz w:val="23"/>
          <w:szCs w:val="23"/>
        </w:rPr>
        <w:t> </w:t>
      </w:r>
      <w:hyperlink r:id="rId10" w:history="1">
        <w:r>
          <w:rPr>
            <w:rStyle w:val="Hyperlink"/>
            <w:rFonts w:ascii="Verdana" w:hAnsi="Verdana"/>
            <w:sz w:val="23"/>
            <w:szCs w:val="23"/>
          </w:rPr>
          <w:t>options</w:t>
        </w:r>
      </w:hyperlink>
      <w:r>
        <w:rPr>
          <w:rFonts w:ascii="Verdana" w:hAnsi="Verdana"/>
          <w:color w:val="000000"/>
          <w:sz w:val="23"/>
          <w:szCs w:val="23"/>
        </w:rPr>
        <w:t>,</w:t>
      </w:r>
      <w:r>
        <w:rPr>
          <w:rStyle w:val="apple-converted-space"/>
          <w:rFonts w:ascii="Verdana" w:hAnsi="Verdana"/>
          <w:color w:val="000000"/>
          <w:sz w:val="23"/>
          <w:szCs w:val="23"/>
        </w:rPr>
        <w:t> </w:t>
      </w:r>
      <w:hyperlink r:id="rId11" w:history="1">
        <w:r>
          <w:rPr>
            <w:rStyle w:val="Hyperlink"/>
            <w:rFonts w:ascii="Verdana" w:hAnsi="Verdana"/>
            <w:sz w:val="23"/>
            <w:szCs w:val="23"/>
          </w:rPr>
          <w:t>futures</w:t>
        </w:r>
      </w:hyperlink>
      <w:r>
        <w:rPr>
          <w:rFonts w:ascii="Verdana" w:hAnsi="Verdana"/>
          <w:color w:val="000000"/>
          <w:sz w:val="23"/>
          <w:szCs w:val="23"/>
        </w:rPr>
        <w:t>, and alternative investments, such as gold or</w:t>
      </w:r>
      <w:r>
        <w:rPr>
          <w:rStyle w:val="apple-converted-space"/>
          <w:rFonts w:ascii="Verdana" w:hAnsi="Verdana"/>
          <w:color w:val="000000"/>
          <w:sz w:val="23"/>
          <w:szCs w:val="23"/>
        </w:rPr>
        <w:t> </w:t>
      </w:r>
      <w:hyperlink r:id="rId12" w:history="1">
        <w:r>
          <w:rPr>
            <w:rStyle w:val="Hyperlink"/>
            <w:rFonts w:ascii="Verdana" w:hAnsi="Verdana"/>
            <w:sz w:val="23"/>
            <w:szCs w:val="23"/>
          </w:rPr>
          <w:t>limited partnerships</w:t>
        </w:r>
      </w:hyperlink>
      <w:r>
        <w:rPr>
          <w:rFonts w:ascii="Verdana" w:hAnsi="Verdana"/>
          <w:color w:val="000000"/>
          <w:sz w:val="23"/>
          <w:szCs w:val="23"/>
        </w:rPr>
        <w:t>.</w:t>
      </w:r>
    </w:p>
    <w:p w:rsidR="00E376DB" w:rsidRDefault="00E376DB" w:rsidP="00E376DB">
      <w:pPr>
        <w:pStyle w:val="NormalWeb"/>
        <w:numPr>
          <w:ilvl w:val="0"/>
          <w:numId w:val="1"/>
        </w:numPr>
        <w:shd w:val="clear" w:color="auto" w:fill="FFFFFF"/>
        <w:spacing w:before="240" w:beforeAutospacing="0" w:after="240" w:afterAutospacing="0"/>
        <w:ind w:right="1440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Most portfolios are diversified to protect against the risk of single securities or class of securities. Hence,</w:t>
      </w:r>
      <w:r>
        <w:rPr>
          <w:rStyle w:val="apple-converted-space"/>
          <w:rFonts w:ascii="Verdana" w:hAnsi="Verdana"/>
          <w:color w:val="000000"/>
          <w:sz w:val="23"/>
          <w:szCs w:val="23"/>
        </w:rPr>
        <w:t> </w:t>
      </w:r>
      <w:r>
        <w:rPr>
          <w:rFonts w:ascii="Arial Black" w:hAnsi="Arial Black"/>
          <w:b/>
          <w:bCs/>
          <w:color w:val="000000"/>
          <w:sz w:val="23"/>
          <w:szCs w:val="23"/>
        </w:rPr>
        <w:t>portfolio analysis</w:t>
      </w:r>
      <w:r>
        <w:rPr>
          <w:rStyle w:val="apple-converted-space"/>
          <w:rFonts w:ascii="Verdana" w:hAnsi="Verdana"/>
          <w:color w:val="000000"/>
          <w:sz w:val="23"/>
          <w:szCs w:val="23"/>
        </w:rPr>
        <w:t> </w:t>
      </w:r>
      <w:r>
        <w:rPr>
          <w:rFonts w:ascii="Verdana" w:hAnsi="Verdana"/>
          <w:color w:val="000000"/>
          <w:sz w:val="23"/>
          <w:szCs w:val="23"/>
        </w:rPr>
        <w:t>consists of analyzing the portfolio as a whole rather than relying exclusively on</w:t>
      </w:r>
      <w:r>
        <w:rPr>
          <w:rStyle w:val="apple-converted-space"/>
          <w:rFonts w:ascii="Verdana" w:hAnsi="Verdana"/>
          <w:color w:val="000000"/>
          <w:sz w:val="23"/>
          <w:szCs w:val="23"/>
        </w:rPr>
        <w:t> </w:t>
      </w:r>
      <w:r>
        <w:rPr>
          <w:rFonts w:ascii="Arial Black" w:hAnsi="Arial Black"/>
          <w:b/>
          <w:bCs/>
          <w:color w:val="000000"/>
          <w:sz w:val="23"/>
          <w:szCs w:val="23"/>
        </w:rPr>
        <w:t>security analysis</w:t>
      </w:r>
      <w:r>
        <w:rPr>
          <w:rFonts w:ascii="Verdana" w:hAnsi="Verdana"/>
          <w:color w:val="000000"/>
          <w:sz w:val="23"/>
          <w:szCs w:val="23"/>
        </w:rPr>
        <w:t>, which is the analysis of specific types of securities. While the</w:t>
      </w:r>
      <w:r>
        <w:rPr>
          <w:rStyle w:val="apple-converted-space"/>
          <w:rFonts w:ascii="Verdana" w:hAnsi="Verdana"/>
          <w:color w:val="000000"/>
          <w:sz w:val="23"/>
          <w:szCs w:val="23"/>
        </w:rPr>
        <w:t> </w:t>
      </w:r>
      <w:hyperlink r:id="rId13" w:history="1">
        <w:r>
          <w:rPr>
            <w:rStyle w:val="Hyperlink"/>
            <w:rFonts w:ascii="Verdana" w:hAnsi="Verdana"/>
            <w:sz w:val="23"/>
            <w:szCs w:val="23"/>
          </w:rPr>
          <w:t>risk-return profile of a security</w:t>
        </w:r>
      </w:hyperlink>
      <w:r>
        <w:rPr>
          <w:rStyle w:val="apple-converted-space"/>
          <w:rFonts w:ascii="Verdana" w:hAnsi="Verdana"/>
          <w:color w:val="000000"/>
          <w:sz w:val="23"/>
          <w:szCs w:val="23"/>
        </w:rPr>
        <w:t> </w:t>
      </w:r>
      <w:r>
        <w:rPr>
          <w:rFonts w:ascii="Verdana" w:hAnsi="Verdana"/>
          <w:color w:val="000000"/>
          <w:sz w:val="23"/>
          <w:szCs w:val="23"/>
        </w:rPr>
        <w:t>depends mostly on the security itself, the risk-return profile of a portfolio depends not only on the component securities, but also on their mixture or allocation, and on their degree of correlation.</w:t>
      </w:r>
    </w:p>
    <w:p w:rsidR="00E376DB" w:rsidRDefault="00E376DB" w:rsidP="00E376DB">
      <w:pPr>
        <w:pStyle w:val="NormalWeb"/>
        <w:numPr>
          <w:ilvl w:val="0"/>
          <w:numId w:val="1"/>
        </w:numPr>
        <w:shd w:val="clear" w:color="auto" w:fill="FFFFFF"/>
        <w:spacing w:before="240" w:beforeAutospacing="0" w:after="240" w:afterAutospacing="0"/>
        <w:ind w:right="1440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As with securities, the objective of a portfolio may be for capital gains or for income, or a mixture of both. A</w:t>
      </w:r>
      <w:r>
        <w:rPr>
          <w:rStyle w:val="apple-converted-space"/>
          <w:rFonts w:ascii="Verdana" w:hAnsi="Verdana"/>
          <w:color w:val="000000"/>
          <w:sz w:val="23"/>
          <w:szCs w:val="23"/>
        </w:rPr>
        <w:t> </w:t>
      </w:r>
      <w:r>
        <w:rPr>
          <w:rFonts w:ascii="Arial Black" w:hAnsi="Arial Black"/>
          <w:b/>
          <w:bCs/>
          <w:color w:val="000000"/>
          <w:sz w:val="23"/>
          <w:szCs w:val="23"/>
        </w:rPr>
        <w:t>growth-oriented portfolio</w:t>
      </w:r>
      <w:r>
        <w:rPr>
          <w:rStyle w:val="apple-converted-space"/>
          <w:rFonts w:ascii="Verdana" w:hAnsi="Verdana"/>
          <w:color w:val="000000"/>
          <w:sz w:val="23"/>
          <w:szCs w:val="23"/>
        </w:rPr>
        <w:t> </w:t>
      </w:r>
      <w:r>
        <w:rPr>
          <w:rFonts w:ascii="Verdana" w:hAnsi="Verdana"/>
          <w:color w:val="000000"/>
          <w:sz w:val="23"/>
          <w:szCs w:val="23"/>
        </w:rPr>
        <w:t>is a collection of investments selected for their price appreciation potential, while an</w:t>
      </w:r>
      <w:r>
        <w:rPr>
          <w:rStyle w:val="apple-converted-space"/>
          <w:rFonts w:ascii="Verdana" w:hAnsi="Verdana"/>
          <w:color w:val="000000"/>
          <w:sz w:val="23"/>
          <w:szCs w:val="23"/>
        </w:rPr>
        <w:t> </w:t>
      </w:r>
      <w:r>
        <w:rPr>
          <w:rFonts w:ascii="Arial Black" w:hAnsi="Arial Black"/>
          <w:b/>
          <w:bCs/>
          <w:color w:val="000000"/>
          <w:sz w:val="23"/>
          <w:szCs w:val="23"/>
        </w:rPr>
        <w:t>income-oriented portfolio</w:t>
      </w:r>
      <w:r>
        <w:rPr>
          <w:rStyle w:val="apple-converted-space"/>
          <w:rFonts w:ascii="Verdana" w:hAnsi="Verdana"/>
          <w:color w:val="000000"/>
          <w:sz w:val="23"/>
          <w:szCs w:val="23"/>
        </w:rPr>
        <w:t> </w:t>
      </w:r>
      <w:r>
        <w:rPr>
          <w:rFonts w:ascii="Verdana" w:hAnsi="Verdana"/>
          <w:color w:val="000000"/>
          <w:sz w:val="23"/>
          <w:szCs w:val="23"/>
        </w:rPr>
        <w:t>consists of investments selected for their current income of dividends or interest.</w:t>
      </w:r>
    </w:p>
    <w:p w:rsidR="00E376DB" w:rsidRDefault="00E376DB" w:rsidP="00E376DB">
      <w:pPr>
        <w:pStyle w:val="NormalWeb"/>
        <w:numPr>
          <w:ilvl w:val="0"/>
          <w:numId w:val="1"/>
        </w:numPr>
        <w:shd w:val="clear" w:color="auto" w:fill="FFFFFF"/>
        <w:spacing w:before="240" w:beforeAutospacing="0" w:after="240" w:afterAutospacing="0"/>
        <w:ind w:right="1440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The selection of investments will depend on one's tax bracket, need for current income, and the ability to bear risk, but regardless of the risk-return objectives of the investor, it is natural to want to minimize risk for a given level of return. The</w:t>
      </w:r>
      <w:r>
        <w:rPr>
          <w:rStyle w:val="apple-converted-space"/>
          <w:rFonts w:ascii="Verdana" w:hAnsi="Verdana"/>
          <w:color w:val="000000"/>
          <w:sz w:val="23"/>
          <w:szCs w:val="23"/>
        </w:rPr>
        <w:t> </w:t>
      </w:r>
      <w:r>
        <w:rPr>
          <w:rFonts w:ascii="Arial Black" w:hAnsi="Arial Black"/>
          <w:b/>
          <w:bCs/>
          <w:color w:val="000000"/>
          <w:sz w:val="23"/>
          <w:szCs w:val="23"/>
        </w:rPr>
        <w:t>efficient portfolio</w:t>
      </w:r>
      <w:r>
        <w:rPr>
          <w:rStyle w:val="apple-converted-space"/>
          <w:rFonts w:ascii="Verdana" w:hAnsi="Verdana"/>
          <w:color w:val="000000"/>
          <w:sz w:val="23"/>
          <w:szCs w:val="23"/>
        </w:rPr>
        <w:t> </w:t>
      </w:r>
      <w:r>
        <w:rPr>
          <w:rFonts w:ascii="Verdana" w:hAnsi="Verdana"/>
          <w:color w:val="000000"/>
          <w:sz w:val="23"/>
          <w:szCs w:val="23"/>
        </w:rPr>
        <w:t>consists of investments that provide the greatest return for the risk, or—alternatively stated—the least risk for a given return. To assemble an efficient portfolio, one needs to know how to calculate the returns and risks of a portfolio, and how to minimize risks through diversification.</w:t>
      </w:r>
    </w:p>
    <w:p w:rsidR="00E376DB" w:rsidRDefault="00E376DB" w:rsidP="00E376DB">
      <w:pPr>
        <w:pStyle w:val="NormalWeb"/>
        <w:shd w:val="clear" w:color="auto" w:fill="FFFFFF"/>
        <w:spacing w:before="240" w:beforeAutospacing="0" w:after="240" w:afterAutospacing="0"/>
        <w:ind w:left="360" w:right="1440"/>
        <w:rPr>
          <w:rFonts w:ascii="Verdana" w:hAnsi="Verdana"/>
          <w:color w:val="000000"/>
          <w:sz w:val="23"/>
          <w:szCs w:val="23"/>
        </w:rPr>
      </w:pPr>
      <w:r w:rsidRPr="00777351">
        <w:rPr>
          <w:rFonts w:ascii="Verdana" w:hAnsi="Verdana"/>
          <w:b/>
          <w:color w:val="FF0000"/>
          <w:sz w:val="23"/>
          <w:szCs w:val="23"/>
          <w:u w:val="single"/>
        </w:rPr>
        <w:t>Portfolio Returns:</w:t>
      </w:r>
      <w:r w:rsidRPr="00777351">
        <w:rPr>
          <w:rFonts w:ascii="Verdana" w:hAnsi="Verdana"/>
          <w:color w:val="FF0000"/>
          <w:sz w:val="23"/>
          <w:szCs w:val="23"/>
        </w:rPr>
        <w:t xml:space="preserve"> </w:t>
      </w:r>
      <w:r>
        <w:rPr>
          <w:rFonts w:ascii="Verdana" w:hAnsi="Verdana"/>
          <w:color w:val="000000"/>
          <w:sz w:val="23"/>
          <w:szCs w:val="23"/>
        </w:rPr>
        <w:t>Since the return of a portfolio is commensurate with the returns of its individual assets, the return of a portfolio is the weighted average of the returns of its component assets.</w:t>
      </w:r>
    </w:p>
    <w:tbl>
      <w:tblPr>
        <w:tblW w:w="0" w:type="auto"/>
        <w:tblCellSpacing w:w="15" w:type="dxa"/>
        <w:tblInd w:w="120" w:type="dxa"/>
        <w:tblBorders>
          <w:bottom w:val="threeDEmboss" w:sz="6" w:space="0" w:color="FF9900"/>
        </w:tblBorders>
        <w:shd w:val="clear" w:color="auto" w:fill="FFFFBB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150"/>
        <w:gridCol w:w="520"/>
        <w:gridCol w:w="743"/>
        <w:gridCol w:w="3322"/>
        <w:gridCol w:w="450"/>
        <w:gridCol w:w="2355"/>
      </w:tblGrid>
      <w:tr w:rsidR="00E376DB" w:rsidTr="00815CDB">
        <w:trPr>
          <w:tblCellSpacing w:w="15" w:type="dxa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BB"/>
            <w:noWrap/>
            <w:vAlign w:val="center"/>
            <w:hideMark/>
          </w:tcPr>
          <w:p w:rsidR="00E376DB" w:rsidRDefault="00E376DB" w:rsidP="00815CDB">
            <w:pPr>
              <w:shd w:val="clear" w:color="auto" w:fill="DDFFDD"/>
              <w:spacing w:before="120" w:after="120"/>
              <w:jc w:val="center"/>
              <w:rPr>
                <w:rFonts w:ascii="Verdana" w:hAnsi="Verdan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Verdana" w:hAnsi="Verdana"/>
                <w:b/>
                <w:bCs/>
                <w:color w:val="000000"/>
                <w:sz w:val="21"/>
                <w:szCs w:val="21"/>
              </w:rPr>
              <w:lastRenderedPageBreak/>
              <w:t>Portfolio Return Formula</w:t>
            </w:r>
          </w:p>
        </w:tc>
      </w:tr>
      <w:tr w:rsidR="00E376DB" w:rsidTr="00815CDB">
        <w:trPr>
          <w:tblCellSpacing w:w="15" w:type="dxa"/>
        </w:trPr>
        <w:tc>
          <w:tcPr>
            <w:tcW w:w="0" w:type="auto"/>
            <w:shd w:val="clear" w:color="auto" w:fill="FFFFBB"/>
            <w:noWrap/>
            <w:vAlign w:val="center"/>
            <w:hideMark/>
          </w:tcPr>
          <w:p w:rsidR="00E376DB" w:rsidRDefault="00E376DB" w:rsidP="00815CDB">
            <w:pPr>
              <w:spacing w:before="120" w:after="120"/>
              <w:jc w:val="center"/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0000"/>
              </w:rPr>
              <w:t>Portfolio Return</w:t>
            </w:r>
          </w:p>
        </w:tc>
        <w:tc>
          <w:tcPr>
            <w:tcW w:w="0" w:type="auto"/>
            <w:shd w:val="clear" w:color="auto" w:fill="FFFFBB"/>
            <w:noWrap/>
            <w:vAlign w:val="center"/>
            <w:hideMark/>
          </w:tcPr>
          <w:p w:rsidR="00E376DB" w:rsidRDefault="00E376DB" w:rsidP="00815CDB">
            <w:pPr>
              <w:spacing w:before="120" w:after="120"/>
              <w:jc w:val="center"/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0000"/>
              </w:rPr>
              <w:t> =</w:t>
            </w:r>
          </w:p>
        </w:tc>
        <w:tc>
          <w:tcPr>
            <w:tcW w:w="0" w:type="auto"/>
            <w:shd w:val="clear" w:color="auto" w:fill="FFFFBB"/>
            <w:noWrap/>
            <w:vAlign w:val="center"/>
            <w:hideMark/>
          </w:tcPr>
          <w:p w:rsidR="00E376DB" w:rsidRDefault="00E376DB" w:rsidP="00815CDB">
            <w:pPr>
              <w:jc w:val="center"/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0000"/>
              </w:rPr>
              <w:t>n</w:t>
            </w:r>
            <w:r>
              <w:rPr>
                <w:rFonts w:ascii="Verdana" w:hAnsi="Verdana"/>
                <w:b/>
                <w:bCs/>
                <w:color w:val="000000"/>
              </w:rPr>
              <w:br/>
            </w:r>
            <w:r>
              <w:rPr>
                <w:rStyle w:val="xxl"/>
                <w:rFonts w:ascii="Verdana" w:hAnsi="Verdana"/>
                <w:b/>
                <w:bCs/>
                <w:color w:val="000000"/>
                <w:sz w:val="72"/>
                <w:szCs w:val="72"/>
              </w:rPr>
              <w:t>∑</w:t>
            </w:r>
            <w:r>
              <w:rPr>
                <w:rFonts w:ascii="Verdana" w:hAnsi="Verdana"/>
                <w:b/>
                <w:bCs/>
                <w:color w:val="000000"/>
              </w:rPr>
              <w:br/>
              <w:t>k=1</w:t>
            </w:r>
          </w:p>
        </w:tc>
        <w:tc>
          <w:tcPr>
            <w:tcW w:w="0" w:type="auto"/>
            <w:shd w:val="clear" w:color="auto" w:fill="FFFFBB"/>
            <w:noWrap/>
            <w:vAlign w:val="center"/>
            <w:hideMark/>
          </w:tcPr>
          <w:p w:rsidR="00E376DB" w:rsidRDefault="00E376DB" w:rsidP="00815CDB">
            <w:pPr>
              <w:jc w:val="center"/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0000"/>
              </w:rPr>
              <w:t>Dollar Amount of Asset k</w:t>
            </w:r>
          </w:p>
          <w:p w:rsidR="00E376DB" w:rsidRDefault="00400B1D" w:rsidP="00815CDB">
            <w:pPr>
              <w:spacing w:before="60" w:after="60"/>
              <w:jc w:val="center"/>
              <w:rPr>
                <w:rFonts w:ascii="Verdana" w:hAnsi="Verdana"/>
                <w:b/>
                <w:bCs/>
                <w:color w:val="000000"/>
              </w:rPr>
            </w:pPr>
            <w:r>
              <w:rPr>
                <w:rFonts w:ascii="Verdana" w:hAnsi="Verdana"/>
                <w:b/>
                <w:bCs/>
                <w:color w:val="000000"/>
              </w:rPr>
              <w:pict>
                <v:rect id="_x0000_i1025" style="width:0;height:1.5pt" o:hralign="center" o:hrstd="t" o:hrnoshade="t" o:hr="t" fillcolor="black" stroked="f"/>
              </w:pict>
            </w:r>
          </w:p>
          <w:p w:rsidR="00E376DB" w:rsidRDefault="00E376DB" w:rsidP="00815CDB">
            <w:pPr>
              <w:spacing w:before="60" w:after="60"/>
              <w:jc w:val="center"/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0000"/>
              </w:rPr>
              <w:t>Dollar Amount of Portfolio</w:t>
            </w:r>
          </w:p>
        </w:tc>
        <w:tc>
          <w:tcPr>
            <w:tcW w:w="0" w:type="auto"/>
            <w:shd w:val="clear" w:color="auto" w:fill="FFFFBB"/>
            <w:noWrap/>
            <w:vAlign w:val="center"/>
            <w:hideMark/>
          </w:tcPr>
          <w:p w:rsidR="00E376DB" w:rsidRDefault="00E376DB" w:rsidP="00815CDB">
            <w:pPr>
              <w:spacing w:before="60" w:after="60"/>
              <w:jc w:val="center"/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0000"/>
              </w:rPr>
              <w:t>×</w:t>
            </w:r>
          </w:p>
        </w:tc>
        <w:tc>
          <w:tcPr>
            <w:tcW w:w="0" w:type="auto"/>
            <w:shd w:val="clear" w:color="auto" w:fill="FFFFBB"/>
            <w:noWrap/>
            <w:vAlign w:val="center"/>
            <w:hideMark/>
          </w:tcPr>
          <w:p w:rsidR="00E376DB" w:rsidRDefault="00E376DB" w:rsidP="00815CDB">
            <w:pPr>
              <w:spacing w:before="60" w:after="60"/>
              <w:jc w:val="center"/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0000"/>
              </w:rPr>
              <w:t>Return on Asset k</w:t>
            </w:r>
          </w:p>
        </w:tc>
      </w:tr>
      <w:tr w:rsidR="00E376DB" w:rsidTr="00815CDB">
        <w:trPr>
          <w:tblCellSpacing w:w="15" w:type="dxa"/>
        </w:trPr>
        <w:tc>
          <w:tcPr>
            <w:tcW w:w="0" w:type="auto"/>
            <w:gridSpan w:val="6"/>
            <w:shd w:val="clear" w:color="auto" w:fill="FFCC0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E376DB" w:rsidRDefault="00E376DB" w:rsidP="00815CDB">
            <w:pPr>
              <w:ind w:left="120" w:right="120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n = number of assets</w:t>
            </w:r>
          </w:p>
        </w:tc>
      </w:tr>
    </w:tbl>
    <w:p w:rsidR="00E376DB" w:rsidRDefault="00E376DB" w:rsidP="00E376DB">
      <w:pPr>
        <w:pStyle w:val="NormalWeb"/>
        <w:numPr>
          <w:ilvl w:val="0"/>
          <w:numId w:val="1"/>
        </w:numPr>
        <w:shd w:val="clear" w:color="auto" w:fill="FFFFFF"/>
        <w:spacing w:before="240" w:beforeAutospacing="0" w:after="240" w:afterAutospacing="0"/>
        <w:ind w:right="1440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The dollar amount of an asset divided by the dollar amount of the portfolio is the</w:t>
      </w:r>
      <w:r>
        <w:rPr>
          <w:rStyle w:val="apple-converted-space"/>
          <w:rFonts w:ascii="Verdana" w:hAnsi="Verdana"/>
          <w:color w:val="000000"/>
          <w:sz w:val="23"/>
          <w:szCs w:val="23"/>
        </w:rPr>
        <w:t> </w:t>
      </w:r>
      <w:r>
        <w:rPr>
          <w:rFonts w:ascii="Arial Black" w:hAnsi="Arial Black"/>
          <w:b/>
          <w:bCs/>
          <w:color w:val="000000"/>
          <w:sz w:val="23"/>
          <w:szCs w:val="23"/>
        </w:rPr>
        <w:t>weighted average</w:t>
      </w:r>
      <w:r>
        <w:rPr>
          <w:rStyle w:val="apple-converted-space"/>
          <w:rFonts w:ascii="Verdana" w:hAnsi="Verdana"/>
          <w:color w:val="000000"/>
          <w:sz w:val="23"/>
          <w:szCs w:val="23"/>
        </w:rPr>
        <w:t> </w:t>
      </w:r>
      <w:r>
        <w:rPr>
          <w:rFonts w:ascii="Verdana" w:hAnsi="Verdana"/>
          <w:color w:val="000000"/>
          <w:sz w:val="23"/>
          <w:szCs w:val="23"/>
        </w:rPr>
        <w:t>of the asset and the sum of all weighted averages must equal 100%.</w:t>
      </w:r>
    </w:p>
    <w:p w:rsidR="00E376DB" w:rsidRDefault="00E376DB" w:rsidP="00E376DB">
      <w:pPr>
        <w:pStyle w:val="Heading3"/>
        <w:numPr>
          <w:ilvl w:val="0"/>
          <w:numId w:val="1"/>
        </w:numPr>
        <w:pBdr>
          <w:bottom w:val="threeDEngrave" w:sz="12" w:space="2" w:color="auto"/>
        </w:pBdr>
        <w:shd w:val="clear" w:color="auto" w:fill="FFFEEE"/>
        <w:spacing w:before="240" w:beforeAutospacing="0"/>
        <w:rPr>
          <w:rFonts w:ascii="Georgia" w:hAnsi="Georgia"/>
          <w:color w:val="006600"/>
          <w:sz w:val="23"/>
          <w:szCs w:val="23"/>
        </w:rPr>
      </w:pPr>
      <w:r>
        <w:rPr>
          <w:rFonts w:ascii="Georgia" w:hAnsi="Georgia"/>
          <w:color w:val="006600"/>
          <w:sz w:val="23"/>
          <w:szCs w:val="23"/>
        </w:rPr>
        <w:t>Example: Calculating the Expected Return of a Portfolio of 2 Assets</w:t>
      </w:r>
    </w:p>
    <w:tbl>
      <w:tblPr>
        <w:tblW w:w="0" w:type="auto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2"/>
        <w:gridCol w:w="887"/>
      </w:tblGrid>
      <w:tr w:rsidR="00E376DB" w:rsidTr="00815CDB">
        <w:trPr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76DB" w:rsidRDefault="00E376DB" w:rsidP="00815CDB">
            <w:pPr>
              <w:shd w:val="clear" w:color="auto" w:fill="DDFFDD"/>
              <w:spacing w:before="100" w:beforeAutospacing="1" w:after="100" w:afterAutospacing="1"/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Example Portfolio</w:t>
            </w:r>
          </w:p>
        </w:tc>
      </w:tr>
      <w:tr w:rsidR="00E376DB" w:rsidTr="00815CDB">
        <w:trPr>
          <w:tblCellSpacing w:w="15" w:type="dxa"/>
        </w:trPr>
        <w:tc>
          <w:tcPr>
            <w:tcW w:w="0" w:type="auto"/>
            <w:gridSpan w:val="2"/>
            <w:shd w:val="clear" w:color="auto" w:fill="FFCC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76DB" w:rsidRDefault="00E376DB" w:rsidP="00815CDB">
            <w:pPr>
              <w:spacing w:before="100" w:beforeAutospacing="1" w:after="100" w:afterAutospacing="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Asset Weightings</w:t>
            </w:r>
          </w:p>
        </w:tc>
      </w:tr>
      <w:tr w:rsidR="00E376DB" w:rsidTr="00815CDB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76DB" w:rsidRDefault="00E376DB" w:rsidP="00815CDB">
            <w:pPr>
              <w:spacing w:before="24" w:after="24"/>
              <w:ind w:left="24" w:right="24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</w:rPr>
              <w:t>Asset A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76DB" w:rsidRDefault="00E376DB" w:rsidP="00815CDB">
            <w:pPr>
              <w:spacing w:before="24" w:after="24"/>
              <w:ind w:left="24" w:right="24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</w:rPr>
              <w:t>30%</w:t>
            </w:r>
          </w:p>
        </w:tc>
      </w:tr>
      <w:tr w:rsidR="00E376DB" w:rsidTr="00815CDB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76DB" w:rsidRDefault="00E376DB" w:rsidP="00815CDB">
            <w:pPr>
              <w:spacing w:before="24" w:after="24"/>
              <w:ind w:left="24" w:right="24"/>
              <w:rPr>
                <w:b/>
                <w:bCs/>
                <w:color w:val="0000FF"/>
                <w:sz w:val="24"/>
                <w:szCs w:val="24"/>
              </w:rPr>
            </w:pPr>
            <w:r>
              <w:rPr>
                <w:b/>
                <w:bCs/>
                <w:color w:val="0000FF"/>
              </w:rPr>
              <w:t>Asset B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76DB" w:rsidRDefault="00E376DB" w:rsidP="00815CDB">
            <w:pPr>
              <w:spacing w:before="24" w:after="24"/>
              <w:ind w:left="24" w:right="24"/>
              <w:rPr>
                <w:b/>
                <w:bCs/>
                <w:color w:val="0000FF"/>
                <w:sz w:val="24"/>
                <w:szCs w:val="24"/>
              </w:rPr>
            </w:pPr>
            <w:r>
              <w:rPr>
                <w:b/>
                <w:bCs/>
                <w:color w:val="0000FF"/>
              </w:rPr>
              <w:t>70%</w:t>
            </w:r>
          </w:p>
        </w:tc>
      </w:tr>
      <w:tr w:rsidR="00E376DB" w:rsidTr="00815CDB">
        <w:trPr>
          <w:tblCellSpacing w:w="15" w:type="dxa"/>
        </w:trPr>
        <w:tc>
          <w:tcPr>
            <w:tcW w:w="0" w:type="auto"/>
            <w:gridSpan w:val="2"/>
            <w:shd w:val="clear" w:color="auto" w:fill="FFCC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76DB" w:rsidRDefault="00E376DB" w:rsidP="00815CDB">
            <w:pPr>
              <w:spacing w:beforeAutospacing="1" w:afterAutospacing="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Expected Returns</w:t>
            </w:r>
            <w:r>
              <w:rPr>
                <w:b/>
                <w:bCs/>
              </w:rPr>
              <w:br/>
              <w:t>for each Asset</w:t>
            </w:r>
          </w:p>
        </w:tc>
      </w:tr>
      <w:tr w:rsidR="00E376DB" w:rsidTr="00815CDB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76DB" w:rsidRDefault="00E376DB" w:rsidP="00815CDB">
            <w:pPr>
              <w:spacing w:before="24" w:after="24"/>
              <w:ind w:left="24" w:right="24"/>
              <w:rPr>
                <w:b/>
                <w:bCs/>
                <w:color w:val="FF00FF"/>
                <w:sz w:val="24"/>
                <w:szCs w:val="24"/>
              </w:rPr>
            </w:pPr>
            <w:r>
              <w:rPr>
                <w:b/>
                <w:bCs/>
                <w:color w:val="FF00FF"/>
              </w:rPr>
              <w:t>E(r</w:t>
            </w:r>
            <w:r>
              <w:rPr>
                <w:rFonts w:ascii="Verdana" w:hAnsi="Verdana"/>
                <w:b/>
                <w:bCs/>
                <w:color w:val="FF00FF"/>
                <w:sz w:val="15"/>
                <w:szCs w:val="15"/>
                <w:vertAlign w:val="subscript"/>
              </w:rPr>
              <w:t>A</w:t>
            </w:r>
            <w:r>
              <w:rPr>
                <w:b/>
                <w:bCs/>
                <w:color w:val="FF00FF"/>
              </w:rPr>
              <w:t>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76DB" w:rsidRDefault="00E376DB" w:rsidP="00815CDB">
            <w:pPr>
              <w:spacing w:before="24" w:after="24"/>
              <w:ind w:left="24" w:right="24"/>
              <w:rPr>
                <w:b/>
                <w:bCs/>
                <w:color w:val="FF00FF"/>
                <w:sz w:val="24"/>
                <w:szCs w:val="24"/>
              </w:rPr>
            </w:pPr>
            <w:r>
              <w:rPr>
                <w:b/>
                <w:bCs/>
                <w:color w:val="FF00FF"/>
              </w:rPr>
              <w:t>13.9%</w:t>
            </w:r>
          </w:p>
        </w:tc>
      </w:tr>
      <w:tr w:rsidR="00E376DB" w:rsidTr="00815CDB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76DB" w:rsidRDefault="00E376DB" w:rsidP="00815CDB">
            <w:pPr>
              <w:spacing w:before="24" w:after="24"/>
              <w:ind w:left="24" w:right="24"/>
              <w:rPr>
                <w:b/>
                <w:bCs/>
                <w:color w:val="800080"/>
                <w:sz w:val="24"/>
                <w:szCs w:val="24"/>
              </w:rPr>
            </w:pPr>
            <w:r>
              <w:rPr>
                <w:b/>
                <w:bCs/>
                <w:color w:val="800080"/>
              </w:rPr>
              <w:t>E(r</w:t>
            </w:r>
            <w:r>
              <w:rPr>
                <w:rFonts w:ascii="Verdana" w:hAnsi="Verdana"/>
                <w:b/>
                <w:bCs/>
                <w:color w:val="800080"/>
                <w:sz w:val="15"/>
                <w:szCs w:val="15"/>
                <w:vertAlign w:val="subscript"/>
              </w:rPr>
              <w:t>B</w:t>
            </w:r>
            <w:r>
              <w:rPr>
                <w:b/>
                <w:bCs/>
                <w:color w:val="800080"/>
              </w:rPr>
              <w:t>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76DB" w:rsidRDefault="00E376DB" w:rsidP="00815CDB">
            <w:pPr>
              <w:spacing w:before="24" w:after="24"/>
              <w:ind w:left="24" w:right="24"/>
              <w:rPr>
                <w:b/>
                <w:bCs/>
                <w:color w:val="800080"/>
                <w:sz w:val="24"/>
                <w:szCs w:val="24"/>
              </w:rPr>
            </w:pPr>
            <w:r>
              <w:rPr>
                <w:b/>
                <w:bCs/>
                <w:color w:val="800080"/>
              </w:rPr>
              <w:t>9.7%</w:t>
            </w:r>
          </w:p>
        </w:tc>
      </w:tr>
    </w:tbl>
    <w:p w:rsidR="00E376DB" w:rsidRDefault="00E376DB" w:rsidP="00E376DB">
      <w:pPr>
        <w:pStyle w:val="NormalWeb"/>
        <w:numPr>
          <w:ilvl w:val="0"/>
          <w:numId w:val="1"/>
        </w:numPr>
        <w:shd w:val="clear" w:color="auto" w:fill="FFFEEE"/>
        <w:spacing w:before="240" w:beforeAutospacing="0" w:after="240" w:afterAutospacing="0"/>
        <w:ind w:right="240"/>
        <w:rPr>
          <w:rFonts w:ascii="Verdana" w:hAnsi="Verdana"/>
          <w:color w:val="000000"/>
          <w:sz w:val="21"/>
          <w:szCs w:val="21"/>
        </w:rPr>
      </w:pPr>
      <w:r>
        <w:rPr>
          <w:rFonts w:ascii="Verdana" w:hAnsi="Verdana"/>
          <w:color w:val="000000"/>
          <w:sz w:val="21"/>
          <w:szCs w:val="21"/>
        </w:rPr>
        <w:t>The expected return of this portfolio is calculated thus:</w:t>
      </w:r>
    </w:p>
    <w:p w:rsidR="00E376DB" w:rsidRDefault="00E376DB" w:rsidP="00E376DB">
      <w:pPr>
        <w:pStyle w:val="NormalWeb"/>
        <w:numPr>
          <w:ilvl w:val="0"/>
          <w:numId w:val="1"/>
        </w:numPr>
        <w:shd w:val="clear" w:color="auto" w:fill="FFFEEE"/>
        <w:spacing w:before="0" w:beforeAutospacing="0" w:after="0" w:afterAutospacing="0"/>
        <w:ind w:right="240"/>
        <w:rPr>
          <w:rFonts w:ascii="Verdana" w:hAnsi="Verdana"/>
          <w:color w:val="000000"/>
          <w:sz w:val="21"/>
          <w:szCs w:val="21"/>
        </w:rPr>
      </w:pPr>
      <w:r>
        <w:rPr>
          <w:rFonts w:ascii="Verdana" w:hAnsi="Verdana"/>
          <w:color w:val="000000"/>
          <w:sz w:val="21"/>
          <w:szCs w:val="21"/>
        </w:rPr>
        <w:t>Portfolio Expected Return =</w:t>
      </w:r>
      <w:r>
        <w:rPr>
          <w:rStyle w:val="apple-converted-space"/>
          <w:rFonts w:ascii="Verdana" w:hAnsi="Verdana"/>
          <w:color w:val="000000"/>
          <w:sz w:val="21"/>
          <w:szCs w:val="21"/>
        </w:rPr>
        <w:t> </w:t>
      </w:r>
      <w:r>
        <w:rPr>
          <w:rStyle w:val="c1"/>
          <w:rFonts w:ascii="Verdana" w:hAnsi="Verdana"/>
          <w:b/>
          <w:bCs/>
          <w:color w:val="FF0000"/>
          <w:sz w:val="21"/>
          <w:szCs w:val="21"/>
          <w:shd w:val="clear" w:color="auto" w:fill="FFFFFF"/>
        </w:rPr>
        <w:t>.3</w:t>
      </w:r>
      <w:r>
        <w:rPr>
          <w:rStyle w:val="apple-converted-space"/>
          <w:rFonts w:ascii="Verdana" w:hAnsi="Verdana"/>
          <w:color w:val="000000"/>
          <w:sz w:val="21"/>
          <w:szCs w:val="21"/>
        </w:rPr>
        <w:t> </w:t>
      </w:r>
      <w:r>
        <w:rPr>
          <w:rFonts w:ascii="Verdana" w:hAnsi="Verdana"/>
          <w:color w:val="000000"/>
          <w:sz w:val="21"/>
          <w:szCs w:val="21"/>
        </w:rPr>
        <w:t>×</w:t>
      </w:r>
      <w:r>
        <w:rPr>
          <w:rStyle w:val="apple-converted-space"/>
          <w:rFonts w:ascii="Verdana" w:hAnsi="Verdana"/>
          <w:color w:val="000000"/>
          <w:sz w:val="21"/>
          <w:szCs w:val="21"/>
        </w:rPr>
        <w:t> </w:t>
      </w:r>
      <w:r>
        <w:rPr>
          <w:rStyle w:val="c8"/>
          <w:rFonts w:ascii="Verdana" w:hAnsi="Verdana"/>
          <w:b/>
          <w:bCs/>
          <w:color w:val="FF00FF"/>
          <w:sz w:val="21"/>
          <w:szCs w:val="21"/>
          <w:shd w:val="clear" w:color="auto" w:fill="FFFFFF"/>
        </w:rPr>
        <w:t>.139</w:t>
      </w:r>
      <w:r>
        <w:rPr>
          <w:rStyle w:val="apple-converted-space"/>
          <w:rFonts w:ascii="Verdana" w:hAnsi="Verdana"/>
          <w:color w:val="000000"/>
          <w:sz w:val="21"/>
          <w:szCs w:val="21"/>
        </w:rPr>
        <w:t> </w:t>
      </w:r>
      <w:r>
        <w:rPr>
          <w:rFonts w:ascii="Verdana" w:hAnsi="Verdana"/>
          <w:color w:val="000000"/>
          <w:sz w:val="21"/>
          <w:szCs w:val="21"/>
        </w:rPr>
        <w:t>+</w:t>
      </w:r>
      <w:r>
        <w:rPr>
          <w:rStyle w:val="apple-converted-space"/>
          <w:rFonts w:ascii="Verdana" w:hAnsi="Verdana"/>
          <w:color w:val="000000"/>
          <w:sz w:val="21"/>
          <w:szCs w:val="21"/>
        </w:rPr>
        <w:t> </w:t>
      </w:r>
      <w:r>
        <w:rPr>
          <w:rStyle w:val="c2"/>
          <w:rFonts w:ascii="Verdana" w:hAnsi="Verdana"/>
          <w:b/>
          <w:bCs/>
          <w:color w:val="0000FF"/>
          <w:sz w:val="21"/>
          <w:szCs w:val="21"/>
          <w:shd w:val="clear" w:color="auto" w:fill="FFFFFF"/>
        </w:rPr>
        <w:t>.7</w:t>
      </w:r>
      <w:r>
        <w:rPr>
          <w:rStyle w:val="apple-converted-space"/>
          <w:rFonts w:ascii="Verdana" w:hAnsi="Verdana"/>
          <w:color w:val="000000"/>
          <w:sz w:val="21"/>
          <w:szCs w:val="21"/>
        </w:rPr>
        <w:t> </w:t>
      </w:r>
      <w:r>
        <w:rPr>
          <w:rFonts w:ascii="Verdana" w:hAnsi="Verdana"/>
          <w:color w:val="000000"/>
          <w:sz w:val="21"/>
          <w:szCs w:val="21"/>
        </w:rPr>
        <w:t>×</w:t>
      </w:r>
      <w:r>
        <w:rPr>
          <w:rStyle w:val="apple-converted-space"/>
          <w:rFonts w:ascii="Verdana" w:hAnsi="Verdana"/>
          <w:color w:val="000000"/>
          <w:sz w:val="21"/>
          <w:szCs w:val="21"/>
        </w:rPr>
        <w:t> </w:t>
      </w:r>
      <w:r>
        <w:rPr>
          <w:rStyle w:val="c4"/>
          <w:rFonts w:ascii="Verdana" w:hAnsi="Verdana"/>
          <w:b/>
          <w:bCs/>
          <w:color w:val="800080"/>
          <w:sz w:val="21"/>
          <w:szCs w:val="21"/>
          <w:shd w:val="clear" w:color="auto" w:fill="FFFFFF"/>
        </w:rPr>
        <w:t>.097</w:t>
      </w:r>
      <w:r>
        <w:rPr>
          <w:rStyle w:val="apple-converted-space"/>
          <w:rFonts w:ascii="Verdana" w:hAnsi="Verdana"/>
          <w:color w:val="000000"/>
          <w:sz w:val="21"/>
          <w:szCs w:val="21"/>
        </w:rPr>
        <w:t> </w:t>
      </w:r>
      <w:r>
        <w:rPr>
          <w:rFonts w:ascii="Verdana" w:hAnsi="Verdana"/>
          <w:color w:val="000000"/>
          <w:sz w:val="21"/>
          <w:szCs w:val="21"/>
        </w:rPr>
        <w:t>= .109 = 10.9%</w:t>
      </w:r>
    </w:p>
    <w:p w:rsidR="00E376DB" w:rsidRDefault="00E376DB" w:rsidP="00E376DB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tbl>
      <w:tblPr>
        <w:tblW w:w="0" w:type="auto"/>
        <w:tblCellSpacing w:w="15" w:type="dxa"/>
        <w:tblInd w:w="120" w:type="dxa"/>
        <w:tblBorders>
          <w:bottom w:val="threeDEmboss" w:sz="6" w:space="0" w:color="FF9900"/>
        </w:tblBorders>
        <w:shd w:val="clear" w:color="auto" w:fill="FFFFBB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540"/>
      </w:tblGrid>
      <w:tr w:rsidR="00E376DB" w:rsidRPr="004A0725" w:rsidTr="00815CD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BB"/>
            <w:noWrap/>
            <w:vAlign w:val="center"/>
            <w:hideMark/>
          </w:tcPr>
          <w:p w:rsidR="00E376DB" w:rsidRPr="004A0725" w:rsidRDefault="00E376DB" w:rsidP="00815CDB">
            <w:pPr>
              <w:shd w:val="clear" w:color="auto" w:fill="DDFFDD"/>
              <w:spacing w:before="120" w:after="12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1"/>
                <w:szCs w:val="21"/>
              </w:rPr>
            </w:pPr>
            <w:r w:rsidRPr="004A0725">
              <w:rPr>
                <w:rFonts w:ascii="Verdana" w:eastAsia="Times New Roman" w:hAnsi="Verdana" w:cs="Times New Roman"/>
                <w:b/>
                <w:bCs/>
                <w:color w:val="000000"/>
                <w:sz w:val="21"/>
                <w:szCs w:val="21"/>
              </w:rPr>
              <w:lastRenderedPageBreak/>
              <w:t>Standard Deviation Formula for Portfolio Returns</w:t>
            </w:r>
          </w:p>
        </w:tc>
      </w:tr>
      <w:tr w:rsidR="00E376DB" w:rsidRPr="004A0725" w:rsidTr="00815CDB">
        <w:trPr>
          <w:tblCellSpacing w:w="15" w:type="dxa"/>
        </w:trPr>
        <w:tc>
          <w:tcPr>
            <w:tcW w:w="0" w:type="auto"/>
            <w:shd w:val="clear" w:color="auto" w:fill="FFFFBB"/>
            <w:noWrap/>
            <w:vAlign w:val="center"/>
            <w:hideMark/>
          </w:tcPr>
          <w:p w:rsidR="00E376DB" w:rsidRPr="004A0725" w:rsidRDefault="00E376DB" w:rsidP="00815CDB">
            <w:pPr>
              <w:spacing w:before="120" w:after="12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Verdana" w:eastAsia="Times New Roman" w:hAnsi="Verdana" w:cs="Times New Roman"/>
                <w:b/>
                <w:bCs/>
                <w:noProof/>
                <w:color w:val="000000"/>
                <w:sz w:val="24"/>
                <w:szCs w:val="24"/>
              </w:rPr>
              <w:drawing>
                <wp:inline distT="0" distB="0" distL="0" distR="0" wp14:anchorId="54A1AD4D" wp14:editId="5982492C">
                  <wp:extent cx="2380615" cy="767715"/>
                  <wp:effectExtent l="0" t="0" r="635" b="0"/>
                  <wp:docPr id="1" name="Picture 1" descr="Formula for the standard deviation of investment returns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ormula for the standard deviation of investment returns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0615" cy="767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76DB" w:rsidRPr="004A0725" w:rsidTr="00815CDB">
        <w:trPr>
          <w:tblCellSpacing w:w="15" w:type="dxa"/>
        </w:trPr>
        <w:tc>
          <w:tcPr>
            <w:tcW w:w="0" w:type="auto"/>
            <w:shd w:val="clear" w:color="auto" w:fill="FFCC0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E376DB" w:rsidRPr="004A0725" w:rsidRDefault="00E376DB" w:rsidP="00815CDB">
            <w:pPr>
              <w:spacing w:after="0" w:line="240" w:lineRule="auto"/>
              <w:ind w:left="120" w:right="120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 w:rsidRPr="004A072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s = Standard Deviation</w:t>
            </w:r>
            <w:r w:rsidRPr="004A072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br/>
              <w:t>r</w:t>
            </w:r>
            <w:r w:rsidRPr="004A0725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  <w:vertAlign w:val="subscript"/>
              </w:rPr>
              <w:t>k </w:t>
            </w:r>
            <w:r w:rsidRPr="004A072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= Specific Return</w:t>
            </w:r>
            <w:r w:rsidRPr="004A072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br/>
              <w:t>r</w:t>
            </w:r>
            <w:r w:rsidRPr="004A0725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  <w:vertAlign w:val="subscript"/>
              </w:rPr>
              <w:t>expected </w:t>
            </w:r>
            <w:r w:rsidRPr="004A072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= Expected Return</w:t>
            </w:r>
            <w:r w:rsidRPr="004A072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br/>
              <w:t>n = Number of Returns (sample size)</w:t>
            </w:r>
            <w:r w:rsidRPr="004A072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br/>
              <w:t>n – 1 = number of degrees of freedom, which, in statistics, is used for small sample sizes</w:t>
            </w:r>
          </w:p>
        </w:tc>
      </w:tr>
    </w:tbl>
    <w:p w:rsidR="00E376DB" w:rsidRDefault="00E376DB" w:rsidP="00E376DB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BD2FF1" w:rsidRDefault="00BD2FF1"/>
    <w:sectPr w:rsidR="00BD2FF1">
      <w:footerReference w:type="defaul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B1D" w:rsidRDefault="00400B1D" w:rsidP="00E376DB">
      <w:pPr>
        <w:spacing w:after="0" w:line="240" w:lineRule="auto"/>
      </w:pPr>
      <w:r>
        <w:separator/>
      </w:r>
    </w:p>
  </w:endnote>
  <w:endnote w:type="continuationSeparator" w:id="0">
    <w:p w:rsidR="00400B1D" w:rsidRDefault="00400B1D" w:rsidP="00E37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5301760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376DB" w:rsidRDefault="00E376D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598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376DB" w:rsidRDefault="00E376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B1D" w:rsidRDefault="00400B1D" w:rsidP="00E376DB">
      <w:pPr>
        <w:spacing w:after="0" w:line="240" w:lineRule="auto"/>
      </w:pPr>
      <w:r>
        <w:separator/>
      </w:r>
    </w:p>
  </w:footnote>
  <w:footnote w:type="continuationSeparator" w:id="0">
    <w:p w:rsidR="00400B1D" w:rsidRDefault="00400B1D" w:rsidP="00E37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46610F"/>
    <w:multiLevelType w:val="multilevel"/>
    <w:tmpl w:val="6AEC7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6DB"/>
    <w:rsid w:val="00400B1D"/>
    <w:rsid w:val="004771E1"/>
    <w:rsid w:val="00715981"/>
    <w:rsid w:val="00BD2FF1"/>
    <w:rsid w:val="00E37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6C2CF7-3E1C-47A5-A627-A675F7E04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E376DB"/>
  </w:style>
  <w:style w:type="paragraph" w:styleId="Heading3">
    <w:name w:val="heading 3"/>
    <w:basedOn w:val="Normal"/>
    <w:link w:val="Heading3Char"/>
    <w:uiPriority w:val="9"/>
    <w:qFormat/>
    <w:rsid w:val="00E376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376D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E376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E376DB"/>
  </w:style>
  <w:style w:type="character" w:styleId="Hyperlink">
    <w:name w:val="Hyperlink"/>
    <w:basedOn w:val="DefaultParagraphFont"/>
    <w:uiPriority w:val="99"/>
    <w:unhideWhenUsed/>
    <w:rsid w:val="00E376DB"/>
    <w:rPr>
      <w:color w:val="0000FF"/>
      <w:u w:val="single"/>
    </w:rPr>
  </w:style>
  <w:style w:type="character" w:customStyle="1" w:styleId="xxl">
    <w:name w:val="xxl"/>
    <w:basedOn w:val="DefaultParagraphFont"/>
    <w:rsid w:val="00E376DB"/>
  </w:style>
  <w:style w:type="character" w:customStyle="1" w:styleId="c1">
    <w:name w:val="c1"/>
    <w:basedOn w:val="DefaultParagraphFont"/>
    <w:rsid w:val="00E376DB"/>
  </w:style>
  <w:style w:type="character" w:customStyle="1" w:styleId="c8">
    <w:name w:val="c8"/>
    <w:basedOn w:val="DefaultParagraphFont"/>
    <w:rsid w:val="00E376DB"/>
  </w:style>
  <w:style w:type="character" w:customStyle="1" w:styleId="c2">
    <w:name w:val="c2"/>
    <w:basedOn w:val="DefaultParagraphFont"/>
    <w:rsid w:val="00E376DB"/>
  </w:style>
  <w:style w:type="character" w:customStyle="1" w:styleId="c4">
    <w:name w:val="c4"/>
    <w:basedOn w:val="DefaultParagraphFont"/>
    <w:rsid w:val="00E376DB"/>
  </w:style>
  <w:style w:type="paragraph" w:styleId="BalloonText">
    <w:name w:val="Balloon Text"/>
    <w:basedOn w:val="Normal"/>
    <w:link w:val="BalloonTextChar"/>
    <w:uiPriority w:val="99"/>
    <w:semiHidden/>
    <w:unhideWhenUsed/>
    <w:rsid w:val="00E37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76D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376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76DB"/>
  </w:style>
  <w:style w:type="paragraph" w:styleId="Footer">
    <w:name w:val="footer"/>
    <w:basedOn w:val="Normal"/>
    <w:link w:val="FooterChar"/>
    <w:uiPriority w:val="99"/>
    <w:unhideWhenUsed/>
    <w:rsid w:val="00E376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76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hismatter.com/money/stocks/stocks.htm" TargetMode="External"/><Relationship Id="rId13" Type="http://schemas.openxmlformats.org/officeDocument/2006/relationships/hyperlink" Target="http://thismatter.com/money/investments/single-asset-risk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thismatter.com/money/investments/portfolios.htm" TargetMode="External"/><Relationship Id="rId12" Type="http://schemas.openxmlformats.org/officeDocument/2006/relationships/hyperlink" Target="http://thismatter.com/money/funds/dpp/limited-partnerships.ht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thismatter.com/money/futures/futures.htm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thismatter.com/money/options/stock-options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thismatter.com/money/bonds/bonds.htm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Winston Labriel</cp:lastModifiedBy>
  <cp:revision>2</cp:revision>
  <dcterms:created xsi:type="dcterms:W3CDTF">2017-05-01T20:48:00Z</dcterms:created>
  <dcterms:modified xsi:type="dcterms:W3CDTF">2017-05-01T20:48:00Z</dcterms:modified>
</cp:coreProperties>
</file>