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9FD" w:rsidRPr="00FA19FD" w:rsidRDefault="00FA19FD" w:rsidP="00FA19FD">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FA19FD">
        <w:rPr>
          <w:rFonts w:ascii="Times New Roman" w:eastAsia="Times New Roman" w:hAnsi="Times New Roman" w:cs="Times New Roman"/>
          <w:b/>
          <w:bCs/>
          <w:kern w:val="36"/>
          <w:sz w:val="48"/>
          <w:szCs w:val="48"/>
        </w:rPr>
        <w:t>SQ1: Term Definitions (Project Description)</w:t>
      </w:r>
    </w:p>
    <w:p w:rsidR="00FA19FD" w:rsidRPr="00FA19FD" w:rsidRDefault="00FA19FD" w:rsidP="00FA19FD">
      <w:pPr>
        <w:spacing w:after="0" w:line="240" w:lineRule="auto"/>
        <w:rPr>
          <w:rFonts w:ascii="Times New Roman" w:eastAsia="Times New Roman" w:hAnsi="Times New Roman" w:cs="Times New Roman"/>
          <w:sz w:val="24"/>
          <w:szCs w:val="24"/>
        </w:rPr>
      </w:pPr>
      <w:hyperlink r:id="rId5" w:tooltip="Actions for 'SQ1: Term Definitions (Project Description)'" w:history="1">
        <w:r w:rsidRPr="00FA19FD">
          <w:rPr>
            <w:rFonts w:ascii="Times New Roman" w:eastAsia="Times New Roman" w:hAnsi="Times New Roman" w:cs="Times New Roman"/>
            <w:noProof/>
            <w:color w:val="0000FF"/>
            <w:sz w:val="24"/>
            <w:szCs w:val="24"/>
          </w:rPr>
          <w:drawing>
            <wp:inline distT="0" distB="0" distL="0" distR="0" wp14:anchorId="7834BCDA" wp14:editId="684E5242">
              <wp:extent cx="9525" cy="9525"/>
              <wp:effectExtent l="0" t="0" r="0" b="0"/>
              <wp:docPr id="4" name="Picture 4" descr="https://learn.umuc.edu/d2l/img/lp/pixel.gif">
                <a:hlinkClick xmlns:a="http://schemas.openxmlformats.org/drawingml/2006/main" r:id="rId5" tooltip="&quot;Actions for 'SQ1: Term Definitions (Project Descript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earn.umuc.edu/d2l/img/lp/pixel.gif">
                        <a:hlinkClick r:id="rId5" tooltip="&quot;Actions for 'SQ1: Term Definitions (Project Description)'&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FA19FD">
          <w:rPr>
            <w:rFonts w:ascii="Times New Roman" w:eastAsia="Times New Roman" w:hAnsi="Times New Roman" w:cs="Times New Roman"/>
            <w:color w:val="0000FF"/>
            <w:sz w:val="24"/>
            <w:szCs w:val="24"/>
            <w:u w:val="single"/>
          </w:rPr>
          <w:t xml:space="preserve">Actions for 'SQ1: Term Definitions (Project Description)' </w:t>
        </w:r>
      </w:hyperlink>
    </w:p>
    <w:p w:rsidR="00FA19FD" w:rsidRPr="00FA19FD" w:rsidRDefault="00FA19FD" w:rsidP="00FA19FD">
      <w:pPr>
        <w:spacing w:before="100" w:beforeAutospacing="1" w:after="100" w:afterAutospacing="1" w:line="240" w:lineRule="auto"/>
        <w:outlineLvl w:val="1"/>
        <w:rPr>
          <w:rFonts w:ascii="Times New Roman" w:eastAsia="Times New Roman" w:hAnsi="Times New Roman" w:cs="Times New Roman"/>
          <w:b/>
          <w:bCs/>
          <w:sz w:val="36"/>
          <w:szCs w:val="36"/>
        </w:rPr>
      </w:pPr>
      <w:r w:rsidRPr="00FA19FD">
        <w:rPr>
          <w:rFonts w:ascii="Times New Roman" w:eastAsia="Times New Roman" w:hAnsi="Times New Roman" w:cs="Times New Roman"/>
          <w:b/>
          <w:bCs/>
          <w:sz w:val="36"/>
          <w:szCs w:val="36"/>
        </w:rPr>
        <w:t>Web Page</w:t>
      </w:r>
      <w:bookmarkStart w:id="0" w:name="_GoBack"/>
      <w:bookmarkEnd w:id="0"/>
    </w:p>
    <w:p w:rsidR="006661B5" w:rsidRDefault="006661B5"/>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b/>
          <w:bCs/>
          <w:sz w:val="24"/>
          <w:szCs w:val="24"/>
        </w:rPr>
        <w:t>SQ.1: </w:t>
      </w:r>
      <w:r w:rsidRPr="00FA19FD">
        <w:rPr>
          <w:rFonts w:ascii="Times New Roman" w:eastAsia="Times New Roman" w:hAnsi="Times New Roman" w:cs="Times New Roman"/>
          <w:sz w:val="24"/>
          <w:szCs w:val="24"/>
        </w:rPr>
        <w:t>In the main content there will be a link to the appropriate discussion area to provide definitions, contributing to the glossary of terms. You must provide a </w:t>
      </w:r>
      <w:r w:rsidRPr="00FA19FD">
        <w:rPr>
          <w:rFonts w:ascii="Times New Roman" w:eastAsia="Times New Roman" w:hAnsi="Times New Roman" w:cs="Times New Roman"/>
          <w:b/>
          <w:bCs/>
          <w:sz w:val="24"/>
          <w:szCs w:val="24"/>
        </w:rPr>
        <w:t>personal</w:t>
      </w:r>
      <w:r w:rsidRPr="00FA19FD">
        <w:rPr>
          <w:rFonts w:ascii="Times New Roman" w:eastAsia="Times New Roman" w:hAnsi="Times New Roman" w:cs="Times New Roman"/>
          <w:sz w:val="24"/>
          <w:szCs w:val="24"/>
        </w:rPr>
        <w:t> definition utilizing academic sources for the term and </w:t>
      </w:r>
      <w:r w:rsidRPr="00FA19FD">
        <w:rPr>
          <w:rFonts w:ascii="Times New Roman" w:eastAsia="Times New Roman" w:hAnsi="Times New Roman" w:cs="Times New Roman"/>
          <w:b/>
          <w:bCs/>
          <w:sz w:val="24"/>
          <w:szCs w:val="24"/>
        </w:rPr>
        <w:t>provide an example</w:t>
      </w:r>
      <w:r w:rsidRPr="00FA19FD">
        <w:rPr>
          <w:rFonts w:ascii="Times New Roman" w:eastAsia="Times New Roman" w:hAnsi="Times New Roman" w:cs="Times New Roman"/>
          <w:sz w:val="24"/>
          <w:szCs w:val="24"/>
        </w:rPr>
        <w:t> of an artwork that exemplifies the definition provided. You must also </w:t>
      </w:r>
      <w:r w:rsidRPr="00FA19FD">
        <w:rPr>
          <w:rFonts w:ascii="Times New Roman" w:eastAsia="Times New Roman" w:hAnsi="Times New Roman" w:cs="Times New Roman"/>
          <w:b/>
          <w:bCs/>
          <w:sz w:val="24"/>
          <w:szCs w:val="24"/>
        </w:rPr>
        <w:t>describe why that artifact was chosen</w:t>
      </w:r>
      <w:r w:rsidRPr="00FA19FD">
        <w:rPr>
          <w:rFonts w:ascii="Times New Roman" w:eastAsia="Times New Roman" w:hAnsi="Times New Roman" w:cs="Times New Roman"/>
          <w:sz w:val="24"/>
          <w:szCs w:val="24"/>
        </w:rPr>
        <w:t> </w:t>
      </w:r>
      <w:r w:rsidRPr="00FA19FD">
        <w:rPr>
          <w:rFonts w:ascii="Times New Roman" w:eastAsia="Times New Roman" w:hAnsi="Times New Roman" w:cs="Times New Roman"/>
          <w:b/>
          <w:bCs/>
          <w:sz w:val="24"/>
          <w:szCs w:val="24"/>
        </w:rPr>
        <w:t>as an example</w:t>
      </w:r>
      <w:r w:rsidRPr="00FA19FD">
        <w:rPr>
          <w:rFonts w:ascii="Times New Roman" w:eastAsia="Times New Roman" w:hAnsi="Times New Roman" w:cs="Times New Roman"/>
          <w:sz w:val="24"/>
          <w:szCs w:val="24"/>
        </w:rPr>
        <w:t>, clearly defining the aspects that relate to the definition.</w:t>
      </w:r>
    </w:p>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Helpful tips:</w:t>
      </w:r>
    </w:p>
    <w:p w:rsidR="00FA19FD" w:rsidRPr="00FA19FD" w:rsidRDefault="00FA19FD" w:rsidP="00FA19F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Please do not copy and paste from a word document as it generates unnecessary code. Use the text editor in the site or use notepad or a similar program to type and save information. If you must use Word for your work, copy and paste to Notepad then copy that information to your online editor, this will remove any code.)</w:t>
      </w:r>
    </w:p>
    <w:p w:rsidR="00FA19FD" w:rsidRPr="00FA19FD" w:rsidRDefault="00FA19FD" w:rsidP="00FA19F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"isms" such as "symbolism" may not refer to the artistic movement by the same title, rather the concept as related to the time the course covers. Please make sure your definition refers to the context of the course.</w:t>
      </w:r>
    </w:p>
    <w:p w:rsidR="00FA19FD" w:rsidRPr="00FA19FD" w:rsidRDefault="00FA19FD" w:rsidP="00FA19F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b/>
          <w:bCs/>
          <w:i/>
          <w:iCs/>
          <w:sz w:val="24"/>
          <w:szCs w:val="24"/>
        </w:rPr>
        <w:t>All submissions are set to be approved by the Instructor. They will not be visible until "checked-in." Please refer to feedback in the gradebook for details on approved or not approved resources.</w:t>
      </w:r>
    </w:p>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hyperlink r:id="rId7" w:tgtFrame="_blank" w:history="1">
        <w:proofErr w:type="spellStart"/>
        <w:r w:rsidRPr="00FA19FD">
          <w:rPr>
            <w:rFonts w:ascii="Times New Roman" w:eastAsia="Times New Roman" w:hAnsi="Times New Roman" w:cs="Times New Roman"/>
            <w:color w:val="0000FF"/>
            <w:sz w:val="24"/>
            <w:szCs w:val="24"/>
            <w:u w:val="single"/>
          </w:rPr>
          <w:t>Yavelberg's</w:t>
        </w:r>
        <w:proofErr w:type="spellEnd"/>
        <w:r w:rsidRPr="00FA19FD">
          <w:rPr>
            <w:rFonts w:ascii="Times New Roman" w:eastAsia="Times New Roman" w:hAnsi="Times New Roman" w:cs="Times New Roman"/>
            <w:color w:val="0000FF"/>
            <w:sz w:val="24"/>
            <w:szCs w:val="24"/>
            <w:u w:val="single"/>
          </w:rPr>
          <w:t xml:space="preserve"> Video Tutori</w:t>
        </w:r>
        <w:r w:rsidRPr="00FA19FD">
          <w:rPr>
            <w:rFonts w:ascii="Times New Roman" w:eastAsia="Times New Roman" w:hAnsi="Times New Roman" w:cs="Times New Roman"/>
            <w:color w:val="0000FF"/>
            <w:sz w:val="24"/>
            <w:szCs w:val="24"/>
            <w:u w:val="single"/>
          </w:rPr>
          <w:t>a</w:t>
        </w:r>
        <w:r w:rsidRPr="00FA19FD">
          <w:rPr>
            <w:rFonts w:ascii="Times New Roman" w:eastAsia="Times New Roman" w:hAnsi="Times New Roman" w:cs="Times New Roman"/>
            <w:color w:val="0000FF"/>
            <w:sz w:val="24"/>
            <w:szCs w:val="24"/>
            <w:u w:val="single"/>
          </w:rPr>
          <w:t>l for SQ.1</w:t>
        </w:r>
      </w:hyperlink>
    </w:p>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b/>
          <w:bCs/>
          <w:sz w:val="24"/>
          <w:szCs w:val="24"/>
        </w:rPr>
        <w:t>Example:</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44"/>
      </w:tblGrid>
      <w:tr w:rsidR="00FA19FD" w:rsidRPr="00FA19FD" w:rsidTr="00FA19FD">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b/>
                <w:bCs/>
                <w:sz w:val="24"/>
                <w:szCs w:val="24"/>
              </w:rPr>
              <w:t>Black figure painting</w:t>
            </w:r>
            <w:r w:rsidRPr="00FA19FD">
              <w:rPr>
                <w:rFonts w:ascii="Times New Roman" w:eastAsia="Times New Roman" w:hAnsi="Times New Roman" w:cs="Times New Roman"/>
                <w:sz w:val="24"/>
                <w:szCs w:val="24"/>
              </w:rPr>
              <w:t> is a technique used in early Greek pottery in which dark figures are silhouetted against a light background of natural, reddish clay, with linear details incised through the silhouettes (</w:t>
            </w:r>
            <w:proofErr w:type="spellStart"/>
            <w:r w:rsidRPr="00FA19FD">
              <w:rPr>
                <w:rFonts w:ascii="Times New Roman" w:eastAsia="Times New Roman" w:hAnsi="Times New Roman" w:cs="Times New Roman"/>
                <w:sz w:val="24"/>
                <w:szCs w:val="24"/>
              </w:rPr>
              <w:t>Kleiner</w:t>
            </w:r>
            <w:proofErr w:type="spellEnd"/>
            <w:r w:rsidRPr="00FA19FD">
              <w:rPr>
                <w:rFonts w:ascii="Times New Roman" w:eastAsia="Times New Roman" w:hAnsi="Times New Roman" w:cs="Times New Roman"/>
                <w:sz w:val="24"/>
                <w:szCs w:val="24"/>
              </w:rPr>
              <w:t>, 398).  A potter formed the vase on a wheel and added the handles separately by using slip, or liquefied clay (</w:t>
            </w:r>
            <w:proofErr w:type="spellStart"/>
            <w:r w:rsidRPr="00FA19FD">
              <w:rPr>
                <w:rFonts w:ascii="Times New Roman" w:eastAsia="Times New Roman" w:hAnsi="Times New Roman" w:cs="Times New Roman"/>
                <w:sz w:val="24"/>
                <w:szCs w:val="24"/>
              </w:rPr>
              <w:t>Kleiner</w:t>
            </w:r>
            <w:proofErr w:type="spellEnd"/>
            <w:r w:rsidRPr="00FA19FD">
              <w:rPr>
                <w:rFonts w:ascii="Times New Roman" w:eastAsia="Times New Roman" w:hAnsi="Times New Roman" w:cs="Times New Roman"/>
                <w:sz w:val="24"/>
                <w:szCs w:val="24"/>
              </w:rPr>
              <w:t>, 90).  After the vessel dried, decorators – often the potters themselves – would then incise figures or patterns onto the vase with a slip of finely sifted clay or white and purple enhancements (Athenian Vase Painting). </w:t>
            </w:r>
          </w:p>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 xml:space="preserve">A three-step firing process began with an oxidizing phase, where the pot and slip turned red.  In the reducing phase, the kiln’s oxygen supply was shut off, turning the pot and slip black.  In the final </w:t>
            </w:r>
            <w:proofErr w:type="spellStart"/>
            <w:r w:rsidRPr="00FA19FD">
              <w:rPr>
                <w:rFonts w:ascii="Times New Roman" w:eastAsia="Times New Roman" w:hAnsi="Times New Roman" w:cs="Times New Roman"/>
                <w:sz w:val="24"/>
                <w:szCs w:val="24"/>
              </w:rPr>
              <w:t>reoxidixing</w:t>
            </w:r>
            <w:proofErr w:type="spellEnd"/>
            <w:r w:rsidRPr="00FA19FD">
              <w:rPr>
                <w:rFonts w:ascii="Times New Roman" w:eastAsia="Times New Roman" w:hAnsi="Times New Roman" w:cs="Times New Roman"/>
                <w:sz w:val="24"/>
                <w:szCs w:val="24"/>
              </w:rPr>
              <w:t xml:space="preserve"> phase, the pot reabsorbed oxygen and turned red again, while the slip of fine clay remained black (</w:t>
            </w:r>
            <w:proofErr w:type="spellStart"/>
            <w:r w:rsidRPr="00FA19FD">
              <w:rPr>
                <w:rFonts w:ascii="Times New Roman" w:eastAsia="Times New Roman" w:hAnsi="Times New Roman" w:cs="Times New Roman"/>
                <w:sz w:val="24"/>
                <w:szCs w:val="24"/>
              </w:rPr>
              <w:t>Kleiner</w:t>
            </w:r>
            <w:proofErr w:type="spellEnd"/>
            <w:r w:rsidRPr="00FA19FD">
              <w:rPr>
                <w:rFonts w:ascii="Times New Roman" w:eastAsia="Times New Roman" w:hAnsi="Times New Roman" w:cs="Times New Roman"/>
                <w:sz w:val="24"/>
                <w:szCs w:val="24"/>
              </w:rPr>
              <w:t>, 90). Athenian artist Exekias is considered the master of black figure painting. </w:t>
            </w:r>
          </w:p>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noProof/>
                <w:sz w:val="24"/>
                <w:szCs w:val="24"/>
              </w:rPr>
              <w:lastRenderedPageBreak/>
              <w:drawing>
                <wp:inline distT="0" distB="0" distL="0" distR="0" wp14:anchorId="0E6DB973" wp14:editId="5BEBF790">
                  <wp:extent cx="2066925" cy="1333500"/>
                  <wp:effectExtent l="0" t="0" r="9525" b="0"/>
                  <wp:docPr id="6" name="Picture 6" descr="Dionysus Kyl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onysus Kyli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66925" cy="1333500"/>
                          </a:xfrm>
                          <a:prstGeom prst="rect">
                            <a:avLst/>
                          </a:prstGeom>
                          <a:noFill/>
                          <a:ln>
                            <a:noFill/>
                          </a:ln>
                        </pic:spPr>
                      </pic:pic>
                    </a:graphicData>
                  </a:graphic>
                </wp:inline>
              </w:drawing>
            </w:r>
          </w:p>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b/>
                <w:bCs/>
                <w:sz w:val="24"/>
                <w:szCs w:val="24"/>
              </w:rPr>
              <w:t>Dionysus Kylix</w:t>
            </w:r>
            <w:r w:rsidRPr="00FA19FD">
              <w:rPr>
                <w:rFonts w:ascii="Times New Roman" w:eastAsia="Times New Roman" w:hAnsi="Times New Roman" w:cs="Times New Roman"/>
                <w:sz w:val="24"/>
                <w:szCs w:val="24"/>
              </w:rPr>
              <w:t>. Exekias decorated the inside of a cup with the image of Dionysus, god of wine, lying in a boat surrounded by dolphins and grapevines, recalling the Homeric Hymn to Dionysus (Perseus Digital Library). The image is created using the black figure technique demonstrating the silhouette-like image with incised details.</w:t>
            </w:r>
          </w:p>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b/>
                <w:bCs/>
                <w:sz w:val="24"/>
                <w:szCs w:val="24"/>
              </w:rPr>
              <w:t>Works Cited: </w:t>
            </w:r>
          </w:p>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Department of Greek and Roman Art. </w:t>
            </w:r>
            <w:r w:rsidRPr="00FA19FD">
              <w:rPr>
                <w:rFonts w:ascii="Times New Roman" w:eastAsia="Times New Roman" w:hAnsi="Times New Roman" w:cs="Times New Roman"/>
                <w:i/>
                <w:iCs/>
                <w:sz w:val="24"/>
                <w:szCs w:val="24"/>
              </w:rPr>
              <w:t>Athenian Vase Painting: Black- and Red-Figure Techniques</w:t>
            </w:r>
            <w:r w:rsidRPr="00FA19FD">
              <w:rPr>
                <w:rFonts w:ascii="Times New Roman" w:eastAsia="Times New Roman" w:hAnsi="Times New Roman" w:cs="Times New Roman"/>
                <w:sz w:val="24"/>
                <w:szCs w:val="24"/>
              </w:rPr>
              <w:t xml:space="preserve">. The Metropolitan Museum of Art, </w:t>
            </w:r>
            <w:proofErr w:type="spellStart"/>
            <w:r w:rsidRPr="00FA19FD">
              <w:rPr>
                <w:rFonts w:ascii="Times New Roman" w:eastAsia="Times New Roman" w:hAnsi="Times New Roman" w:cs="Times New Roman"/>
                <w:sz w:val="24"/>
                <w:szCs w:val="24"/>
              </w:rPr>
              <w:t>n.d.</w:t>
            </w:r>
            <w:proofErr w:type="spellEnd"/>
            <w:r w:rsidRPr="00FA19FD">
              <w:rPr>
                <w:rFonts w:ascii="Times New Roman" w:eastAsia="Times New Roman" w:hAnsi="Times New Roman" w:cs="Times New Roman"/>
                <w:sz w:val="24"/>
                <w:szCs w:val="24"/>
              </w:rPr>
              <w:t xml:space="preserve"> Web. Accessed 2 April 2013.</w:t>
            </w:r>
          </w:p>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Exekias. </w:t>
            </w:r>
            <w:r w:rsidRPr="00FA19FD">
              <w:rPr>
                <w:rFonts w:ascii="Times New Roman" w:eastAsia="Times New Roman" w:hAnsi="Times New Roman" w:cs="Times New Roman"/>
                <w:i/>
                <w:iCs/>
                <w:sz w:val="24"/>
                <w:szCs w:val="24"/>
              </w:rPr>
              <w:t>Dionysus Kylix.ca. </w:t>
            </w:r>
            <w:r w:rsidRPr="00FA19FD">
              <w:rPr>
                <w:rFonts w:ascii="Times New Roman" w:eastAsia="Times New Roman" w:hAnsi="Times New Roman" w:cs="Times New Roman"/>
                <w:sz w:val="24"/>
                <w:szCs w:val="24"/>
              </w:rPr>
              <w:t xml:space="preserve">535 BCE. Staatliche </w:t>
            </w:r>
            <w:proofErr w:type="spellStart"/>
            <w:r w:rsidRPr="00FA19FD">
              <w:rPr>
                <w:rFonts w:ascii="Times New Roman" w:eastAsia="Times New Roman" w:hAnsi="Times New Roman" w:cs="Times New Roman"/>
                <w:sz w:val="24"/>
                <w:szCs w:val="24"/>
              </w:rPr>
              <w:t>Antikensammlung</w:t>
            </w:r>
            <w:proofErr w:type="spellEnd"/>
            <w:r w:rsidRPr="00FA19FD">
              <w:rPr>
                <w:rFonts w:ascii="Times New Roman" w:eastAsia="Times New Roman" w:hAnsi="Times New Roman" w:cs="Times New Roman"/>
                <w:sz w:val="24"/>
                <w:szCs w:val="24"/>
              </w:rPr>
              <w:t xml:space="preserve">, Munich. Web. Accessed 2 April 2013. </w:t>
            </w:r>
            <w:proofErr w:type="spellStart"/>
            <w:r w:rsidRPr="00FA19FD">
              <w:rPr>
                <w:rFonts w:ascii="Times New Roman" w:eastAsia="Times New Roman" w:hAnsi="Times New Roman" w:cs="Times New Roman"/>
                <w:sz w:val="24"/>
                <w:szCs w:val="24"/>
              </w:rPr>
              <w:t>Kleiner</w:t>
            </w:r>
            <w:proofErr w:type="spellEnd"/>
            <w:r w:rsidRPr="00FA19FD">
              <w:rPr>
                <w:rFonts w:ascii="Times New Roman" w:eastAsia="Times New Roman" w:hAnsi="Times New Roman" w:cs="Times New Roman"/>
                <w:sz w:val="24"/>
                <w:szCs w:val="24"/>
              </w:rPr>
              <w:t>, Fred S. </w:t>
            </w:r>
            <w:r w:rsidRPr="00FA19FD">
              <w:rPr>
                <w:rFonts w:ascii="Times New Roman" w:eastAsia="Times New Roman" w:hAnsi="Times New Roman" w:cs="Times New Roman"/>
                <w:i/>
                <w:iCs/>
                <w:sz w:val="24"/>
                <w:szCs w:val="24"/>
              </w:rPr>
              <w:t>Gardner’s Art Through the Ages: The Western Perspective</w:t>
            </w:r>
            <w:r w:rsidRPr="00FA19FD">
              <w:rPr>
                <w:rFonts w:ascii="Times New Roman" w:eastAsia="Times New Roman" w:hAnsi="Times New Roman" w:cs="Times New Roman"/>
                <w:sz w:val="24"/>
                <w:szCs w:val="24"/>
              </w:rPr>
              <w:t>. Boston: Wadsworth, 2010. Print.</w:t>
            </w:r>
          </w:p>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i/>
                <w:iCs/>
                <w:sz w:val="24"/>
                <w:szCs w:val="24"/>
              </w:rPr>
              <w:t>The Homeric Hymns</w:t>
            </w:r>
            <w:r w:rsidRPr="00FA19FD">
              <w:rPr>
                <w:rFonts w:ascii="Times New Roman" w:eastAsia="Times New Roman" w:hAnsi="Times New Roman" w:cs="Times New Roman"/>
                <w:sz w:val="24"/>
                <w:szCs w:val="24"/>
              </w:rPr>
              <w:t>. Trans. Hugh G. Evelyn-White. </w:t>
            </w:r>
            <w:r w:rsidRPr="00FA19FD">
              <w:rPr>
                <w:rFonts w:ascii="Times New Roman" w:eastAsia="Times New Roman" w:hAnsi="Times New Roman" w:cs="Times New Roman"/>
                <w:i/>
                <w:iCs/>
                <w:sz w:val="24"/>
                <w:szCs w:val="24"/>
              </w:rPr>
              <w:t>Perseus Digital Library</w:t>
            </w:r>
            <w:r w:rsidRPr="00FA19FD">
              <w:rPr>
                <w:rFonts w:ascii="Times New Roman" w:eastAsia="Times New Roman" w:hAnsi="Times New Roman" w:cs="Times New Roman"/>
                <w:sz w:val="24"/>
                <w:szCs w:val="24"/>
              </w:rPr>
              <w:t xml:space="preserve">. Tufts University, </w:t>
            </w:r>
            <w:proofErr w:type="spellStart"/>
            <w:r w:rsidRPr="00FA19FD">
              <w:rPr>
                <w:rFonts w:ascii="Times New Roman" w:eastAsia="Times New Roman" w:hAnsi="Times New Roman" w:cs="Times New Roman"/>
                <w:sz w:val="24"/>
                <w:szCs w:val="24"/>
              </w:rPr>
              <w:t>n.d.</w:t>
            </w:r>
            <w:proofErr w:type="spellEnd"/>
            <w:r w:rsidRPr="00FA19FD">
              <w:rPr>
                <w:rFonts w:ascii="Times New Roman" w:eastAsia="Times New Roman" w:hAnsi="Times New Roman" w:cs="Times New Roman"/>
                <w:sz w:val="24"/>
                <w:szCs w:val="24"/>
              </w:rPr>
              <w:t xml:space="preserve"> Web. Accessed 2 April 2013.</w:t>
            </w:r>
          </w:p>
        </w:tc>
      </w:tr>
    </w:tbl>
    <w:p w:rsidR="00FA19FD" w:rsidRDefault="00FA19FD" w:rsidP="00FA19FD">
      <w:pPr>
        <w:spacing w:before="100" w:beforeAutospacing="1" w:after="100" w:afterAutospacing="1" w:line="240" w:lineRule="auto"/>
        <w:rPr>
          <w:rFonts w:ascii="Times New Roman" w:eastAsia="Times New Roman" w:hAnsi="Times New Roman" w:cs="Times New Roman"/>
          <w:b/>
          <w:bCs/>
          <w:sz w:val="24"/>
          <w:szCs w:val="24"/>
        </w:rPr>
      </w:pPr>
    </w:p>
    <w:p w:rsidR="00FA19FD" w:rsidRDefault="00FA19FD" w:rsidP="00FA19FD">
      <w:pPr>
        <w:spacing w:before="100" w:beforeAutospacing="1" w:after="100" w:afterAutospacing="1" w:line="240" w:lineRule="auto"/>
        <w:rPr>
          <w:rFonts w:ascii="Times New Roman" w:eastAsia="Times New Roman" w:hAnsi="Times New Roman" w:cs="Times New Roman"/>
          <w:b/>
          <w:bCs/>
          <w:sz w:val="24"/>
          <w:szCs w:val="24"/>
        </w:rPr>
      </w:pPr>
    </w:p>
    <w:p w:rsidR="00FA19FD" w:rsidRDefault="00FA19FD" w:rsidP="00FA19FD">
      <w:pPr>
        <w:spacing w:before="100" w:beforeAutospacing="1" w:after="100" w:afterAutospacing="1" w:line="240" w:lineRule="auto"/>
        <w:rPr>
          <w:rFonts w:ascii="Times New Roman" w:eastAsia="Times New Roman" w:hAnsi="Times New Roman" w:cs="Times New Roman"/>
          <w:b/>
          <w:bCs/>
          <w:sz w:val="24"/>
          <w:szCs w:val="24"/>
        </w:rPr>
      </w:pPr>
    </w:p>
    <w:p w:rsidR="00FA19FD" w:rsidRDefault="00FA19FD" w:rsidP="00FA19FD">
      <w:pPr>
        <w:spacing w:before="100" w:beforeAutospacing="1" w:after="100" w:afterAutospacing="1" w:line="240" w:lineRule="auto"/>
        <w:rPr>
          <w:rFonts w:ascii="Times New Roman" w:eastAsia="Times New Roman" w:hAnsi="Times New Roman" w:cs="Times New Roman"/>
          <w:b/>
          <w:bCs/>
          <w:sz w:val="24"/>
          <w:szCs w:val="24"/>
        </w:rPr>
      </w:pPr>
    </w:p>
    <w:p w:rsidR="00FA19FD" w:rsidRDefault="00FA19FD" w:rsidP="00FA19FD">
      <w:pPr>
        <w:spacing w:before="100" w:beforeAutospacing="1" w:after="100" w:afterAutospacing="1" w:line="240" w:lineRule="auto"/>
        <w:rPr>
          <w:rFonts w:ascii="Times New Roman" w:eastAsia="Times New Roman" w:hAnsi="Times New Roman" w:cs="Times New Roman"/>
          <w:b/>
          <w:bCs/>
          <w:sz w:val="24"/>
          <w:szCs w:val="24"/>
        </w:rPr>
      </w:pPr>
    </w:p>
    <w:p w:rsidR="00FA19FD" w:rsidRDefault="00FA19FD" w:rsidP="00FA19FD">
      <w:pPr>
        <w:spacing w:before="100" w:beforeAutospacing="1" w:after="100" w:afterAutospacing="1" w:line="240" w:lineRule="auto"/>
        <w:rPr>
          <w:rFonts w:ascii="Times New Roman" w:eastAsia="Times New Roman" w:hAnsi="Times New Roman" w:cs="Times New Roman"/>
          <w:b/>
          <w:bCs/>
          <w:sz w:val="24"/>
          <w:szCs w:val="24"/>
        </w:rPr>
      </w:pPr>
    </w:p>
    <w:p w:rsidR="00FA19FD" w:rsidRDefault="00FA19FD" w:rsidP="00FA19FD">
      <w:pPr>
        <w:spacing w:before="100" w:beforeAutospacing="1" w:after="100" w:afterAutospacing="1" w:line="240" w:lineRule="auto"/>
        <w:rPr>
          <w:rFonts w:ascii="Times New Roman" w:eastAsia="Times New Roman" w:hAnsi="Times New Roman" w:cs="Times New Roman"/>
          <w:b/>
          <w:bCs/>
          <w:sz w:val="24"/>
          <w:szCs w:val="24"/>
        </w:rPr>
      </w:pPr>
    </w:p>
    <w:p w:rsidR="00FA19FD" w:rsidRDefault="00FA19FD" w:rsidP="00FA19FD">
      <w:pPr>
        <w:spacing w:before="100" w:beforeAutospacing="1" w:after="100" w:afterAutospacing="1" w:line="240" w:lineRule="auto"/>
        <w:rPr>
          <w:rFonts w:ascii="Times New Roman" w:eastAsia="Times New Roman" w:hAnsi="Times New Roman" w:cs="Times New Roman"/>
          <w:b/>
          <w:bCs/>
          <w:sz w:val="24"/>
          <w:szCs w:val="24"/>
        </w:rPr>
      </w:pPr>
    </w:p>
    <w:p w:rsidR="00FA19FD" w:rsidRDefault="00FA19FD" w:rsidP="00FA19FD">
      <w:pPr>
        <w:spacing w:before="100" w:beforeAutospacing="1" w:after="100" w:afterAutospacing="1" w:line="240" w:lineRule="auto"/>
        <w:rPr>
          <w:rFonts w:ascii="Times New Roman" w:eastAsia="Times New Roman" w:hAnsi="Times New Roman" w:cs="Times New Roman"/>
          <w:b/>
          <w:bCs/>
          <w:sz w:val="24"/>
          <w:szCs w:val="24"/>
        </w:rPr>
      </w:pPr>
    </w:p>
    <w:p w:rsidR="00FA19FD" w:rsidRDefault="00FA19FD" w:rsidP="00FA19FD">
      <w:pPr>
        <w:spacing w:before="100" w:beforeAutospacing="1" w:after="100" w:afterAutospacing="1" w:line="240" w:lineRule="auto"/>
        <w:rPr>
          <w:rFonts w:ascii="Times New Roman" w:eastAsia="Times New Roman" w:hAnsi="Times New Roman" w:cs="Times New Roman"/>
          <w:b/>
          <w:bCs/>
          <w:sz w:val="24"/>
          <w:szCs w:val="24"/>
        </w:rPr>
      </w:pPr>
    </w:p>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b/>
          <w:bCs/>
          <w:sz w:val="24"/>
          <w:szCs w:val="24"/>
        </w:rPr>
        <w:t>Terms: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44"/>
        <w:gridCol w:w="2932"/>
        <w:gridCol w:w="2984"/>
      </w:tblGrid>
      <w:tr w:rsidR="00FA19FD" w:rsidRPr="00FA19FD" w:rsidTr="00FA19FD">
        <w:trPr>
          <w:tblCellSpacing w:w="15" w:type="dxa"/>
        </w:trPr>
        <w:tc>
          <w:tcPr>
            <w:tcW w:w="0" w:type="auto"/>
            <w:vAlign w:val="center"/>
            <w:hideMark/>
          </w:tcPr>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Paleolithic</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visual literacy</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birth of art, Africa/Europe</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Neolithic</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iconography</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pre-historic</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composition</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abstraction,</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idealism,</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realism,</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naturalism,</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FA19FD">
              <w:rPr>
                <w:rFonts w:ascii="Times New Roman" w:eastAsia="Times New Roman" w:hAnsi="Times New Roman" w:cs="Times New Roman"/>
                <w:sz w:val="24"/>
                <w:szCs w:val="24"/>
              </w:rPr>
              <w:t>verism</w:t>
            </w:r>
            <w:proofErr w:type="spellEnd"/>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post and lintel</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subject</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before common era</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relief</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space</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medium</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architectural concept</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line</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art history</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artist</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color</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volume and mass</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texture</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light and dark</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style</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Mesopotamia</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Middle East</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Egypt</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ziggurat</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sculpture in the round</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proportion</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Ka</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temple</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narrative</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conceptualization</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step pyramid and pyramid</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aesthetics</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cuneiform</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hierarchy of scale</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hieroglyphic</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hypostyle hall</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sphinx</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stele</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register</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clerestory</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FA19FD">
              <w:rPr>
                <w:rFonts w:ascii="Times New Roman" w:eastAsia="Times New Roman" w:hAnsi="Times New Roman" w:cs="Times New Roman"/>
                <w:sz w:val="24"/>
                <w:szCs w:val="24"/>
              </w:rPr>
              <w:t>mastaba</w:t>
            </w:r>
            <w:proofErr w:type="spellEnd"/>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Aegean</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Mycenaean</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Minoan</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fresco</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mythology</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archaic</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Geometric and Orientalizing period</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red figure/black figure</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classical</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Ionic, Doric, Corinthian</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mosaic</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Hellenistic</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Cycladic</w:t>
            </w:r>
          </w:p>
          <w:p w:rsidR="00FA19FD" w:rsidRPr="00FA19FD" w:rsidRDefault="00FA19FD" w:rsidP="00FA19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floor plan/elevation</w:t>
            </w:r>
          </w:p>
        </w:tc>
        <w:tc>
          <w:tcPr>
            <w:tcW w:w="0" w:type="auto"/>
            <w:vAlign w:val="center"/>
            <w:hideMark/>
          </w:tcPr>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lost wax</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contrapposto</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gesture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workshop</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Greek art</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cultural borrowing and legacy</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acropolis</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atrium</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forum</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amphora</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black figure painting</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red figure painting</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caryatid</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capital</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FA19FD">
              <w:rPr>
                <w:rFonts w:ascii="Times New Roman" w:eastAsia="Times New Roman" w:hAnsi="Times New Roman" w:cs="Times New Roman"/>
                <w:sz w:val="24"/>
                <w:szCs w:val="24"/>
              </w:rPr>
              <w:t>cella</w:t>
            </w:r>
            <w:proofErr w:type="spellEnd"/>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FA19FD">
              <w:rPr>
                <w:rFonts w:ascii="Times New Roman" w:eastAsia="Times New Roman" w:hAnsi="Times New Roman" w:cs="Times New Roman"/>
                <w:sz w:val="24"/>
                <w:szCs w:val="24"/>
              </w:rPr>
              <w:t>cire</w:t>
            </w:r>
            <w:proofErr w:type="spellEnd"/>
            <w:r w:rsidRPr="00FA19FD">
              <w:rPr>
                <w:rFonts w:ascii="Times New Roman" w:eastAsia="Times New Roman" w:hAnsi="Times New Roman" w:cs="Times New Roman"/>
                <w:sz w:val="24"/>
                <w:szCs w:val="24"/>
              </w:rPr>
              <w:t xml:space="preserve"> </w:t>
            </w:r>
            <w:proofErr w:type="spellStart"/>
            <w:r w:rsidRPr="00FA19FD">
              <w:rPr>
                <w:rFonts w:ascii="Times New Roman" w:eastAsia="Times New Roman" w:hAnsi="Times New Roman" w:cs="Times New Roman"/>
                <w:sz w:val="24"/>
                <w:szCs w:val="24"/>
              </w:rPr>
              <w:t>perdue</w:t>
            </w:r>
            <w:proofErr w:type="spellEnd"/>
            <w:r w:rsidRPr="00FA19FD">
              <w:rPr>
                <w:rFonts w:ascii="Times New Roman" w:eastAsia="Times New Roman" w:hAnsi="Times New Roman" w:cs="Times New Roman"/>
                <w:sz w:val="24"/>
                <w:szCs w:val="24"/>
              </w:rPr>
              <w:t xml:space="preserve"> (lost wax)</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column</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frieze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kore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FA19FD">
              <w:rPr>
                <w:rFonts w:ascii="Times New Roman" w:eastAsia="Times New Roman" w:hAnsi="Times New Roman" w:cs="Times New Roman"/>
                <w:sz w:val="24"/>
                <w:szCs w:val="24"/>
              </w:rPr>
              <w:t>kouros</w:t>
            </w:r>
            <w:proofErr w:type="spellEnd"/>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krater</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metope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pediment</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FA19FD">
              <w:rPr>
                <w:rFonts w:ascii="Times New Roman" w:eastAsia="Times New Roman" w:hAnsi="Times New Roman" w:cs="Times New Roman"/>
                <w:sz w:val="24"/>
                <w:szCs w:val="24"/>
              </w:rPr>
              <w:t>peripteral</w:t>
            </w:r>
            <w:proofErr w:type="spellEnd"/>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terracotta</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triglyph</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volute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imperial</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basilica</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Republican</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facade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arch</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Etruscans</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version</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Roman</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vault</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apse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dome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landscape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aisle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pagan art</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still life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linear perspective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perspective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genre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chiaroscuro</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concrete</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FA19FD">
              <w:rPr>
                <w:rFonts w:ascii="Times New Roman" w:eastAsia="Times New Roman" w:hAnsi="Times New Roman" w:cs="Times New Roman"/>
                <w:sz w:val="24"/>
                <w:szCs w:val="24"/>
              </w:rPr>
              <w:t>tessera</w:t>
            </w:r>
            <w:proofErr w:type="spellEnd"/>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mosaic</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triumphal arch</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Islamic art</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Christian art</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Jewish art</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symbolism</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manuscript</w:t>
            </w:r>
          </w:p>
          <w:p w:rsidR="00FA19FD" w:rsidRPr="00FA19FD" w:rsidRDefault="00FA19FD" w:rsidP="00FA19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colonnade</w:t>
            </w:r>
          </w:p>
        </w:tc>
        <w:tc>
          <w:tcPr>
            <w:tcW w:w="0" w:type="auto"/>
            <w:vAlign w:val="center"/>
            <w:hideMark/>
          </w:tcPr>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Bible</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Koran</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cloisonné</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ivory work</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illuminated manuscript</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sarcophagus</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mihrab</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mosque</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minaret</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folio</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Byzantine</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Carolingian</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Ottonian</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rib</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icon</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patron</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metal and glasswork</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Hiberno-Saxon</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compare and contrast</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migration art, "warrior lands"</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carpet page</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tapestry</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Romanesque</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towers</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floor plan</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transept</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portal</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arcade</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relic</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nave</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proofErr w:type="spellStart"/>
            <w:r w:rsidRPr="00FA19FD">
              <w:rPr>
                <w:rFonts w:ascii="Times New Roman" w:eastAsia="Times New Roman" w:hAnsi="Times New Roman" w:cs="Times New Roman"/>
                <w:sz w:val="24"/>
                <w:szCs w:val="24"/>
              </w:rPr>
              <w:t>mandorla</w:t>
            </w:r>
            <w:proofErr w:type="spellEnd"/>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Crusades</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pilgrimage</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vault</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medieval</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Codex</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Gothic cathedrals</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buttress/flying buttress</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rose window</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stained glass</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ambulatory</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clerestory</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crossing</w:t>
            </w:r>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proofErr w:type="spellStart"/>
            <w:r w:rsidRPr="00FA19FD">
              <w:rPr>
                <w:rFonts w:ascii="Times New Roman" w:eastAsia="Times New Roman" w:hAnsi="Times New Roman" w:cs="Times New Roman"/>
                <w:sz w:val="24"/>
                <w:szCs w:val="24"/>
              </w:rPr>
              <w:t>triforium</w:t>
            </w:r>
            <w:proofErr w:type="spellEnd"/>
          </w:p>
          <w:p w:rsidR="00FA19FD" w:rsidRPr="00FA19FD" w:rsidRDefault="00FA19FD" w:rsidP="00FA19F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sz w:val="24"/>
                <w:szCs w:val="24"/>
              </w:rPr>
              <w:t>Renaissance</w:t>
            </w:r>
          </w:p>
        </w:tc>
      </w:tr>
    </w:tbl>
    <w:p w:rsidR="00FA19FD" w:rsidRPr="00FA19FD" w:rsidRDefault="00FA19FD" w:rsidP="00FA19FD">
      <w:pPr>
        <w:spacing w:before="100" w:beforeAutospacing="1" w:after="100" w:afterAutospacing="1" w:line="240" w:lineRule="auto"/>
        <w:rPr>
          <w:rFonts w:ascii="Times New Roman" w:eastAsia="Times New Roman" w:hAnsi="Times New Roman" w:cs="Times New Roman"/>
          <w:sz w:val="24"/>
          <w:szCs w:val="24"/>
        </w:rPr>
      </w:pPr>
      <w:r w:rsidRPr="00FA19FD">
        <w:rPr>
          <w:rFonts w:ascii="Times New Roman" w:eastAsia="Times New Roman" w:hAnsi="Times New Roman" w:cs="Times New Roman"/>
          <w:b/>
          <w:bCs/>
          <w:sz w:val="24"/>
          <w:szCs w:val="24"/>
        </w:rPr>
        <w:t> </w:t>
      </w:r>
    </w:p>
    <w:p w:rsidR="00FA19FD" w:rsidRDefault="00FA19FD"/>
    <w:sectPr w:rsidR="00FA19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E79B2"/>
    <w:multiLevelType w:val="multilevel"/>
    <w:tmpl w:val="C694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74A26"/>
    <w:multiLevelType w:val="multilevel"/>
    <w:tmpl w:val="B9F0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0B3446"/>
    <w:multiLevelType w:val="multilevel"/>
    <w:tmpl w:val="3E00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5318BC"/>
    <w:multiLevelType w:val="multilevel"/>
    <w:tmpl w:val="19B47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9FD"/>
    <w:rsid w:val="006661B5"/>
    <w:rsid w:val="00FA1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52EC"/>
  <w15:chartTrackingRefBased/>
  <w15:docId w15:val="{F8B5241A-5F04-4D72-9A20-516B920E7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116385">
      <w:bodyDiv w:val="1"/>
      <w:marLeft w:val="0"/>
      <w:marRight w:val="0"/>
      <w:marTop w:val="0"/>
      <w:marBottom w:val="0"/>
      <w:divBdr>
        <w:top w:val="none" w:sz="0" w:space="0" w:color="auto"/>
        <w:left w:val="none" w:sz="0" w:space="0" w:color="auto"/>
        <w:bottom w:val="none" w:sz="0" w:space="0" w:color="auto"/>
        <w:right w:val="none" w:sz="0" w:space="0" w:color="auto"/>
      </w:divBdr>
      <w:divsChild>
        <w:div w:id="1337225196">
          <w:marLeft w:val="0"/>
          <w:marRight w:val="0"/>
          <w:marTop w:val="0"/>
          <w:marBottom w:val="0"/>
          <w:divBdr>
            <w:top w:val="none" w:sz="0" w:space="0" w:color="auto"/>
            <w:left w:val="none" w:sz="0" w:space="0" w:color="auto"/>
            <w:bottom w:val="none" w:sz="0" w:space="0" w:color="auto"/>
            <w:right w:val="none" w:sz="0" w:space="0" w:color="auto"/>
          </w:divBdr>
        </w:div>
      </w:divsChild>
    </w:div>
    <w:div w:id="1459909947">
      <w:bodyDiv w:val="1"/>
      <w:marLeft w:val="0"/>
      <w:marRight w:val="0"/>
      <w:marTop w:val="0"/>
      <w:marBottom w:val="0"/>
      <w:divBdr>
        <w:top w:val="none" w:sz="0" w:space="0" w:color="auto"/>
        <w:left w:val="none" w:sz="0" w:space="0" w:color="auto"/>
        <w:bottom w:val="none" w:sz="0" w:space="0" w:color="auto"/>
        <w:right w:val="none" w:sz="0" w:space="0" w:color="auto"/>
      </w:divBdr>
      <w:divsChild>
        <w:div w:id="274169343">
          <w:marLeft w:val="0"/>
          <w:marRight w:val="0"/>
          <w:marTop w:val="0"/>
          <w:marBottom w:val="0"/>
          <w:divBdr>
            <w:top w:val="none" w:sz="0" w:space="0" w:color="auto"/>
            <w:left w:val="none" w:sz="0" w:space="0" w:color="auto"/>
            <w:bottom w:val="none" w:sz="0" w:space="0" w:color="auto"/>
            <w:right w:val="none" w:sz="0" w:space="0" w:color="auto"/>
          </w:divBdr>
          <w:divsChild>
            <w:div w:id="1085804839">
              <w:marLeft w:val="0"/>
              <w:marRight w:val="0"/>
              <w:marTop w:val="0"/>
              <w:marBottom w:val="0"/>
              <w:divBdr>
                <w:top w:val="none" w:sz="0" w:space="0" w:color="auto"/>
                <w:left w:val="none" w:sz="0" w:space="0" w:color="auto"/>
                <w:bottom w:val="none" w:sz="0" w:space="0" w:color="auto"/>
                <w:right w:val="none" w:sz="0" w:space="0" w:color="auto"/>
              </w:divBdr>
              <w:divsChild>
                <w:div w:id="979456177">
                  <w:marLeft w:val="0"/>
                  <w:marRight w:val="0"/>
                  <w:marTop w:val="0"/>
                  <w:marBottom w:val="0"/>
                  <w:divBdr>
                    <w:top w:val="none" w:sz="0" w:space="0" w:color="auto"/>
                    <w:left w:val="none" w:sz="0" w:space="0" w:color="auto"/>
                    <w:bottom w:val="none" w:sz="0" w:space="0" w:color="auto"/>
                    <w:right w:val="none" w:sz="0" w:space="0" w:color="auto"/>
                  </w:divBdr>
                  <w:divsChild>
                    <w:div w:id="445195244">
                      <w:marLeft w:val="0"/>
                      <w:marRight w:val="0"/>
                      <w:marTop w:val="0"/>
                      <w:marBottom w:val="0"/>
                      <w:divBdr>
                        <w:top w:val="none" w:sz="0" w:space="0" w:color="auto"/>
                        <w:left w:val="none" w:sz="0" w:space="0" w:color="auto"/>
                        <w:bottom w:val="none" w:sz="0" w:space="0" w:color="auto"/>
                        <w:right w:val="none" w:sz="0" w:space="0" w:color="auto"/>
                      </w:divBdr>
                      <w:divsChild>
                        <w:div w:id="137758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youtu.be/A17z2ILppb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javascript:void(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762</Words>
  <Characters>4346</Characters>
  <Application>Microsoft Office Word</Application>
  <DocSecurity>0</DocSecurity>
  <Lines>36</Lines>
  <Paragraphs>10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SQ1: Term Definitions (Project Description)</vt:lpstr>
      <vt:lpstr>    Web Page</vt:lpstr>
    </vt:vector>
  </TitlesOfParts>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Smith</dc:creator>
  <cp:keywords/>
  <dc:description/>
  <cp:lastModifiedBy>Michael Smith</cp:lastModifiedBy>
  <cp:revision>1</cp:revision>
  <dcterms:created xsi:type="dcterms:W3CDTF">2017-02-26T01:31:00Z</dcterms:created>
  <dcterms:modified xsi:type="dcterms:W3CDTF">2017-02-26T01:42:00Z</dcterms:modified>
</cp:coreProperties>
</file>